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结核分枝杆菌特异性细胞免疫反应检测试剂盒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bCs w:val="0"/>
          <w:szCs w:val="21"/>
          <w:lang w:val="en-US" w:eastAsia="zh-CN"/>
        </w:rPr>
        <w:t>结核分枝杆菌特异性细胞免疫反应检测试剂盒</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HYShuSongErKW" w:hAnsi="HYShuSongErKW" w:eastAsia="HYShuSongErKW" w:cs="HYShuSongErKW"/>
          <w:color w:val="000000"/>
          <w:sz w:val="20"/>
          <w:szCs w:val="20"/>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2022-试剂-lz-015</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感染疾病科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结核分枝杆菌特异性细胞免疫反应检测试剂盒</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 xml:space="preserve">1. </w:t>
            </w:r>
            <w:r>
              <w:rPr>
                <w:rFonts w:ascii="HYShuSongErKW" w:hAnsi="HYShuSongErKW" w:eastAsia="HYShuSongErKW" w:cs="HYShuSongErKW"/>
                <w:color w:val="000000"/>
                <w:kern w:val="0"/>
                <w:sz w:val="20"/>
                <w:szCs w:val="20"/>
                <w:lang w:val="en-US" w:eastAsia="zh-CN" w:bidi="ar"/>
              </w:rPr>
              <w:t>用于体外定性检测结核特异性抗原刺激前后</w:t>
            </w:r>
            <w:r>
              <w:rPr>
                <w:rFonts w:hint="default" w:ascii="Arial" w:hAnsi="Arial" w:eastAsia="宋体" w:cs="Arial"/>
                <w:color w:val="000000"/>
                <w:kern w:val="0"/>
                <w:sz w:val="20"/>
                <w:szCs w:val="20"/>
                <w:lang w:val="en-US" w:eastAsia="zh-CN" w:bidi="ar"/>
              </w:rPr>
              <w:t xml:space="preserve">IP-10mRNA </w:t>
            </w:r>
          </w:p>
          <w:p>
            <w:pPr>
              <w:keepNext w:val="0"/>
              <w:keepLines w:val="0"/>
              <w:widowControl/>
              <w:suppressLineNumbers w:val="0"/>
              <w:jc w:val="left"/>
            </w:pPr>
            <w:r>
              <w:rPr>
                <w:rFonts w:hint="eastAsia" w:ascii="HYShuSongErKW" w:hAnsi="HYShuSongErKW" w:eastAsia="HYShuSongErKW" w:cs="HYShuSongErKW"/>
                <w:color w:val="000000"/>
                <w:kern w:val="0"/>
                <w:sz w:val="20"/>
                <w:szCs w:val="20"/>
                <w:lang w:val="en-US" w:eastAsia="zh-CN" w:bidi="ar"/>
              </w:rPr>
              <w:t xml:space="preserve">的水平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2. </w:t>
            </w:r>
            <w:r>
              <w:rPr>
                <w:rFonts w:hint="eastAsia" w:ascii="HYShuSongErKW" w:hAnsi="HYShuSongErKW" w:eastAsia="HYShuSongErKW" w:cs="HYShuSongErKW"/>
                <w:color w:val="000000"/>
                <w:kern w:val="0"/>
                <w:sz w:val="20"/>
                <w:szCs w:val="20"/>
                <w:lang w:val="en-US" w:eastAsia="zh-CN" w:bidi="ar"/>
              </w:rPr>
              <w:t xml:space="preserve">基于荧光 </w:t>
            </w:r>
            <w:r>
              <w:rPr>
                <w:rFonts w:hint="default" w:ascii="Arial" w:hAnsi="Arial" w:eastAsia="宋体" w:cs="Arial"/>
                <w:color w:val="000000"/>
                <w:kern w:val="0"/>
                <w:sz w:val="20"/>
                <w:szCs w:val="20"/>
                <w:lang w:val="en-US" w:eastAsia="zh-CN" w:bidi="ar"/>
              </w:rPr>
              <w:t xml:space="preserve">PCR </w:t>
            </w:r>
            <w:r>
              <w:rPr>
                <w:rFonts w:hint="eastAsia" w:ascii="HYShuSongErKW" w:hAnsi="HYShuSongErKW" w:eastAsia="HYShuSongErKW" w:cs="HYShuSongErKW"/>
                <w:color w:val="000000"/>
                <w:kern w:val="0"/>
                <w:sz w:val="20"/>
                <w:szCs w:val="20"/>
                <w:lang w:val="en-US" w:eastAsia="zh-CN" w:bidi="ar"/>
              </w:rPr>
              <w:t xml:space="preserve">方法，检测人抗凝全血或胸腔积液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3. </w:t>
            </w:r>
            <w:r>
              <w:rPr>
                <w:rFonts w:hint="eastAsia" w:ascii="HYShuSongErKW" w:hAnsi="HYShuSongErKW" w:eastAsia="HYShuSongErKW" w:cs="HYShuSongErKW"/>
                <w:color w:val="000000"/>
                <w:kern w:val="0"/>
                <w:sz w:val="20"/>
                <w:szCs w:val="20"/>
                <w:lang w:val="en-US" w:eastAsia="zh-CN" w:bidi="ar"/>
              </w:rPr>
              <w:t xml:space="preserve">试剂盒包括核酸提取试剂、抗原及 </w:t>
            </w:r>
            <w:r>
              <w:rPr>
                <w:rFonts w:hint="default" w:ascii="Arial" w:hAnsi="Arial" w:eastAsia="宋体" w:cs="Arial"/>
                <w:color w:val="000000"/>
                <w:kern w:val="0"/>
                <w:sz w:val="20"/>
                <w:szCs w:val="20"/>
                <w:lang w:val="en-US" w:eastAsia="zh-CN" w:bidi="ar"/>
              </w:rPr>
              <w:t xml:space="preserve">PCR </w:t>
            </w:r>
            <w:r>
              <w:rPr>
                <w:rFonts w:hint="eastAsia" w:ascii="HYShuSongErKW" w:hAnsi="HYShuSongErKW" w:eastAsia="HYShuSongErKW" w:cs="HYShuSongErKW"/>
                <w:color w:val="000000"/>
                <w:kern w:val="0"/>
                <w:sz w:val="20"/>
                <w:szCs w:val="20"/>
                <w:lang w:val="en-US" w:eastAsia="zh-CN" w:bidi="ar"/>
              </w:rPr>
              <w:t xml:space="preserve">扩增试剂 </w:t>
            </w:r>
          </w:p>
          <w:p>
            <w:pPr>
              <w:jc w:val="both"/>
            </w:pPr>
            <w:r>
              <w:rPr>
                <w:rFonts w:hint="default" w:ascii="Arial" w:hAnsi="Arial" w:eastAsia="宋体" w:cs="Arial"/>
                <w:color w:val="000000"/>
                <w:sz w:val="20"/>
                <w:szCs w:val="20"/>
              </w:rPr>
              <w:t xml:space="preserve">4. </w:t>
            </w:r>
            <w:r>
              <w:rPr>
                <w:rFonts w:hint="eastAsia" w:ascii="HYShuSongErKW" w:hAnsi="HYShuSongErKW" w:eastAsia="HYShuSongErKW" w:cs="HYShuSongErKW"/>
                <w:color w:val="000000"/>
                <w:sz w:val="19"/>
                <w:szCs w:val="19"/>
              </w:rPr>
              <w:t>产品具有医疗器械注册证</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微软雅黑" w:hAnsi="微软雅黑" w:eastAsia="微软雅黑" w:cs="微软雅黑"/>
          <w:color w:val="FF0000"/>
          <w:spacing w:val="3"/>
          <w:sz w:val="22"/>
          <w:szCs w:val="22"/>
          <w:highlight w:val="none"/>
          <w:u w:val="single" w:color="auto"/>
        </w:rPr>
        <w:t xml:space="preserve">   2022年 8月 31日16时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83575258； 咨询：陆充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年</w:t>
      </w:r>
      <w:r>
        <w:rPr>
          <w:rFonts w:hint="default" w:ascii="宋体" w:hAnsi="宋体" w:eastAsia="宋体"/>
          <w:color w:val="000000"/>
          <w:sz w:val="18"/>
          <w:lang w:eastAsia="zh-CN"/>
        </w:rPr>
        <w:t>8</w:t>
      </w:r>
      <w:r>
        <w:rPr>
          <w:rFonts w:hint="eastAsia" w:ascii="宋体" w:hAnsi="宋体" w:eastAsia="宋体"/>
          <w:color w:val="000000"/>
          <w:sz w:val="18"/>
          <w:lang w:val="en-US" w:eastAsia="zh-CN"/>
        </w:rPr>
        <w:t xml:space="preserve"> 月</w:t>
      </w:r>
      <w:r>
        <w:rPr>
          <w:rFonts w:hint="default" w:ascii="宋体" w:hAnsi="宋体" w:eastAsia="宋体"/>
          <w:color w:val="000000"/>
          <w:sz w:val="18"/>
          <w:lang w:eastAsia="zh-CN"/>
        </w:rPr>
        <w:t>24</w:t>
      </w:r>
      <w:r>
        <w:rPr>
          <w:rFonts w:hint="eastAsia" w:ascii="宋体" w:hAnsi="宋体" w:eastAsia="宋体"/>
          <w:color w:val="000000"/>
          <w:sz w:val="18"/>
          <w:lang w:val="en-US" w:eastAsia="zh-CN"/>
        </w:rPr>
        <w:t>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2E28383A"/>
    <w:rsid w:val="32FD4C99"/>
    <w:rsid w:val="3C32093B"/>
    <w:rsid w:val="4030659D"/>
    <w:rsid w:val="4F9376D6"/>
    <w:rsid w:val="5877170F"/>
    <w:rsid w:val="6C9E1478"/>
    <w:rsid w:val="6F236A76"/>
    <w:rsid w:val="77F9751A"/>
    <w:rsid w:val="7B4B16B7"/>
    <w:rsid w:val="7E6A5888"/>
    <w:rsid w:val="BE66D9E2"/>
    <w:rsid w:val="DE9E97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904</Words>
  <Characters>1068</Characters>
  <Lines>0</Lines>
  <Paragraphs>0</Paragraphs>
  <TotalTime>6</TotalTime>
  <ScaleCrop>false</ScaleCrop>
  <LinksUpToDate>false</LinksUpToDate>
  <CharactersWithSpaces>1231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2022-08-24T06:56:59Z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D030328D1F884738893181E6F6BABE7D</vt:lpwstr>
  </property>
</Properties>
</file>