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both"/>
        <w:rPr>
          <w:rFonts w:ascii="宋体" w:hAnsi="宋体" w:eastAsia="宋体"/>
          <w:b/>
          <w:szCs w:val="21"/>
        </w:rPr>
      </w:pPr>
      <w:bookmarkStart w:id="0" w:name="_GoBack"/>
      <w:bookmarkEnd w:id="0"/>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val="en-US" w:eastAsia="zh-CN"/>
        </w:rPr>
        <w:t>免疫荧光及免疫组织化学抗体</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r>
        <w:rPr>
          <w:rFonts w:hint="eastAsia" w:ascii="宋体" w:hAnsi="宋体" w:eastAsia="宋体"/>
          <w:b/>
          <w:bCs w:val="0"/>
          <w:szCs w:val="21"/>
          <w:lang w:val="en-US" w:eastAsia="zh-CN"/>
        </w:rPr>
        <w:t>免疫荧光及免疫组织化学抗体</w:t>
      </w:r>
      <w:r>
        <w:rPr>
          <w:rFonts w:hint="eastAsia" w:ascii="宋体" w:hAnsi="宋体" w:eastAsia="宋体"/>
          <w:b/>
          <w:bCs w:val="0"/>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ascii="HYShuSongErKW" w:hAnsi="HYShuSongErKW" w:eastAsia="HYShuSongErKW" w:cs="HYShuSongErKW"/>
          <w:color w:val="000000"/>
          <w:sz w:val="20"/>
          <w:szCs w:val="20"/>
        </w:rPr>
        <w:t>2022-试剂-lz-018</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val="en-US" w:eastAsia="zh-CN"/>
        </w:rPr>
        <w:t>肾脏内科</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1.4采购论证性质：</w:t>
      </w:r>
      <w:r>
        <w:rPr>
          <w:rFonts w:hint="eastAsia" w:ascii="宋体" w:hAnsi="宋体" w:eastAsia="宋体"/>
          <w:szCs w:val="21"/>
          <w:lang w:val="en-US" w:eastAsia="zh-CN"/>
        </w:rPr>
        <w:t>自行采购——院内论证</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1.5资金来源：</w:t>
      </w:r>
      <w:r>
        <w:rPr>
          <w:rFonts w:hint="eastAsia" w:ascii="宋体" w:hAnsi="宋体" w:eastAsia="宋体"/>
          <w:szCs w:val="21"/>
          <w:lang w:val="en-US" w:eastAsia="zh-CN"/>
        </w:rPr>
        <w:t>医疗</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3221"/>
        <w:gridCol w:w="5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3221"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5671" w:type="dxa"/>
            <w:vAlign w:val="center"/>
          </w:tcPr>
          <w:p>
            <w:pPr>
              <w:pStyle w:val="5"/>
              <w:numPr>
                <w:ilvl w:val="0"/>
                <w:numId w:val="0"/>
              </w:numPr>
              <w:ind w:leftChars="0"/>
              <w:jc w:val="center"/>
              <w:rPr>
                <w:rFonts w:hint="eastAsia" w:ascii="宋体" w:hAnsi="宋体" w:eastAsia="宋体" w:cs="宋体"/>
                <w:szCs w:val="21"/>
                <w:lang w:eastAsia="zh-CN"/>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pPr>
            <w:r>
              <w:t>1</w:t>
            </w:r>
          </w:p>
        </w:tc>
        <w:tc>
          <w:tcPr>
            <w:tcW w:w="1500" w:type="dxa"/>
            <w:vAlign w:val="center"/>
          </w:tcPr>
          <w:p>
            <w:pPr>
              <w:jc w:val="center"/>
            </w:pPr>
            <w:r>
              <w:t>免疫荧光及免疫组织化学抗体</w:t>
            </w:r>
          </w:p>
        </w:tc>
        <w:tc>
          <w:tcPr>
            <w:tcW w:w="3200" w:type="dxa"/>
            <w:vAlign w:val="center"/>
          </w:tcPr>
          <w:p>
            <w:pPr>
              <w:keepNext w:val="0"/>
              <w:keepLines w:val="0"/>
              <w:widowControl/>
              <w:suppressLineNumbers w:val="0"/>
              <w:jc w:val="left"/>
            </w:pPr>
            <w:r>
              <w:rPr>
                <w:rFonts w:ascii="Arial" w:hAnsi="Arial" w:eastAsia="宋体" w:cs="Arial"/>
                <w:color w:val="000000"/>
                <w:kern w:val="0"/>
                <w:sz w:val="20"/>
                <w:szCs w:val="20"/>
                <w:lang w:val="en-US" w:eastAsia="zh-CN" w:bidi="ar"/>
              </w:rPr>
              <w:t>1.</w:t>
            </w:r>
            <w:r>
              <w:rPr>
                <w:rFonts w:ascii="HYShuSongErKW" w:hAnsi="HYShuSongErKW" w:eastAsia="HYShuSongErKW" w:cs="HYShuSongErKW"/>
                <w:color w:val="000000"/>
                <w:kern w:val="0"/>
                <w:sz w:val="20"/>
                <w:szCs w:val="20"/>
                <w:lang w:val="en-US" w:eastAsia="zh-CN" w:bidi="ar"/>
              </w:rPr>
              <w:t xml:space="preserve">用于免疫组化染色 </w:t>
            </w:r>
          </w:p>
          <w:p>
            <w:pPr>
              <w:keepNext w:val="0"/>
              <w:keepLines w:val="0"/>
              <w:widowControl/>
              <w:suppressLineNumbers w:val="0"/>
              <w:jc w:val="left"/>
            </w:pPr>
            <w:r>
              <w:rPr>
                <w:rFonts w:hint="default" w:ascii="Arial" w:hAnsi="Arial" w:eastAsia="宋体" w:cs="Arial"/>
                <w:color w:val="000000"/>
                <w:kern w:val="0"/>
                <w:sz w:val="20"/>
                <w:szCs w:val="20"/>
                <w:lang w:val="en-US" w:eastAsia="zh-CN" w:bidi="ar"/>
              </w:rPr>
              <w:t>2.</w:t>
            </w:r>
            <w:r>
              <w:rPr>
                <w:rFonts w:hint="eastAsia" w:ascii="HYShuSongErKW" w:hAnsi="HYShuSongErKW" w:eastAsia="HYShuSongErKW" w:cs="HYShuSongErKW"/>
                <w:color w:val="000000"/>
                <w:kern w:val="0"/>
                <w:sz w:val="20"/>
                <w:szCs w:val="20"/>
                <w:lang w:val="en-US" w:eastAsia="zh-CN" w:bidi="ar"/>
              </w:rPr>
              <w:t xml:space="preserve">包括 </w:t>
            </w:r>
            <w:r>
              <w:rPr>
                <w:rFonts w:hint="default" w:ascii="Arial" w:hAnsi="Arial" w:eastAsia="宋体" w:cs="Arial"/>
                <w:color w:val="000000"/>
                <w:kern w:val="0"/>
                <w:sz w:val="20"/>
                <w:szCs w:val="20"/>
                <w:lang w:val="en-US" w:eastAsia="zh-CN" w:bidi="ar"/>
              </w:rPr>
              <w:t>IgA1</w:t>
            </w:r>
            <w:r>
              <w:rPr>
                <w:rFonts w:hint="eastAsia" w:ascii="HYShuSongErKW" w:hAnsi="HYShuSongErKW" w:eastAsia="HYShuSongErKW" w:cs="HYShuSongErKW"/>
                <w:color w:val="000000"/>
                <w:kern w:val="0"/>
                <w:sz w:val="20"/>
                <w:szCs w:val="20"/>
                <w:lang w:val="en-US" w:eastAsia="zh-CN" w:bidi="ar"/>
              </w:rPr>
              <w:t>，</w:t>
            </w:r>
            <w:r>
              <w:rPr>
                <w:rFonts w:hint="default" w:ascii="Arial" w:hAnsi="Arial" w:eastAsia="宋体" w:cs="Arial"/>
                <w:color w:val="000000"/>
                <w:kern w:val="0"/>
                <w:sz w:val="20"/>
                <w:szCs w:val="20"/>
                <w:lang w:val="en-US" w:eastAsia="zh-CN" w:bidi="ar"/>
              </w:rPr>
              <w:t>DNAJB9,PLA2R</w:t>
            </w:r>
            <w:r>
              <w:rPr>
                <w:rFonts w:hint="eastAsia" w:ascii="HYShuSongErKW" w:hAnsi="HYShuSongErKW" w:eastAsia="HYShuSongErKW" w:cs="HYShuSongErKW"/>
                <w:color w:val="000000"/>
                <w:kern w:val="0"/>
                <w:sz w:val="20"/>
                <w:szCs w:val="20"/>
                <w:lang w:val="en-US" w:eastAsia="zh-CN" w:bidi="ar"/>
              </w:rPr>
              <w:t>，</w:t>
            </w:r>
            <w:r>
              <w:rPr>
                <w:rFonts w:hint="default" w:ascii="Arial" w:hAnsi="Arial" w:eastAsia="宋体" w:cs="Arial"/>
                <w:color w:val="000000"/>
                <w:kern w:val="0"/>
                <w:sz w:val="20"/>
                <w:szCs w:val="20"/>
                <w:lang w:val="en-US" w:eastAsia="zh-CN" w:bidi="ar"/>
              </w:rPr>
              <w:t>PLA2R clone 5F5.1</w:t>
            </w:r>
            <w:r>
              <w:rPr>
                <w:rFonts w:hint="eastAsia" w:ascii="HYShuSongErKW" w:hAnsi="HYShuSongErKW" w:eastAsia="HYShuSongErKW" w:cs="HYShuSongErKW"/>
                <w:color w:val="000000"/>
                <w:kern w:val="0"/>
                <w:sz w:val="20"/>
                <w:szCs w:val="20"/>
                <w:lang w:val="en-US" w:eastAsia="zh-CN" w:bidi="ar"/>
              </w:rPr>
              <w:t xml:space="preserve">， </w:t>
            </w:r>
          </w:p>
          <w:p>
            <w:pPr>
              <w:keepNext w:val="0"/>
              <w:keepLines w:val="0"/>
              <w:widowControl/>
              <w:suppressLineNumbers w:val="0"/>
              <w:jc w:val="left"/>
            </w:pPr>
            <w:r>
              <w:rPr>
                <w:rFonts w:hint="default" w:ascii="Arial" w:hAnsi="Arial" w:eastAsia="宋体" w:cs="Arial"/>
                <w:color w:val="000000"/>
                <w:kern w:val="0"/>
                <w:sz w:val="20"/>
                <w:szCs w:val="20"/>
                <w:lang w:val="en-US" w:eastAsia="zh-CN" w:bidi="ar"/>
              </w:rPr>
              <w:t>PLA2R1</w:t>
            </w:r>
            <w:r>
              <w:rPr>
                <w:rFonts w:hint="eastAsia" w:ascii="HYShuSongErKW" w:hAnsi="HYShuSongErKW" w:eastAsia="HYShuSongErKW" w:cs="HYShuSongErKW"/>
                <w:color w:val="000000"/>
                <w:kern w:val="0"/>
                <w:sz w:val="20"/>
                <w:szCs w:val="20"/>
                <w:lang w:val="en-US" w:eastAsia="zh-CN" w:bidi="ar"/>
              </w:rPr>
              <w:t>，</w:t>
            </w:r>
            <w:r>
              <w:rPr>
                <w:rFonts w:hint="default" w:ascii="Arial" w:hAnsi="Arial" w:eastAsia="宋体" w:cs="Arial"/>
                <w:color w:val="000000"/>
                <w:kern w:val="0"/>
                <w:sz w:val="20"/>
                <w:szCs w:val="20"/>
                <w:lang w:val="en-US" w:eastAsia="zh-CN" w:bidi="ar"/>
              </w:rPr>
              <w:t>THSD7A,EXT1</w:t>
            </w:r>
            <w:r>
              <w:rPr>
                <w:rFonts w:hint="eastAsia" w:ascii="HYShuSongErKW" w:hAnsi="HYShuSongErKW" w:eastAsia="HYShuSongErKW" w:cs="HYShuSongErKW"/>
                <w:color w:val="000000"/>
                <w:kern w:val="0"/>
                <w:sz w:val="20"/>
                <w:szCs w:val="20"/>
                <w:lang w:val="en-US" w:eastAsia="zh-CN" w:bidi="ar"/>
              </w:rPr>
              <w:t>，</w:t>
            </w:r>
            <w:r>
              <w:rPr>
                <w:rFonts w:hint="default" w:ascii="Arial" w:hAnsi="Arial" w:eastAsia="宋体" w:cs="Arial"/>
                <w:color w:val="000000"/>
                <w:kern w:val="0"/>
                <w:sz w:val="20"/>
                <w:szCs w:val="20"/>
                <w:lang w:val="en-US" w:eastAsia="zh-CN" w:bidi="ar"/>
              </w:rPr>
              <w:t>EXT2</w:t>
            </w:r>
            <w:r>
              <w:rPr>
                <w:rFonts w:hint="eastAsia" w:ascii="HYShuSongErKW" w:hAnsi="HYShuSongErKW" w:eastAsia="HYShuSongErKW" w:cs="HYShuSongErKW"/>
                <w:color w:val="000000"/>
                <w:kern w:val="0"/>
                <w:sz w:val="20"/>
                <w:szCs w:val="20"/>
                <w:lang w:val="en-US" w:eastAsia="zh-CN" w:bidi="ar"/>
              </w:rPr>
              <w:t>，</w:t>
            </w:r>
            <w:r>
              <w:rPr>
                <w:rFonts w:hint="default" w:ascii="Arial" w:hAnsi="Arial" w:eastAsia="宋体" w:cs="Arial"/>
                <w:color w:val="000000"/>
                <w:kern w:val="0"/>
                <w:sz w:val="20"/>
                <w:szCs w:val="20"/>
                <w:lang w:val="en-US" w:eastAsia="zh-CN" w:bidi="ar"/>
              </w:rPr>
              <w:t>NELL1</w:t>
            </w:r>
            <w:r>
              <w:rPr>
                <w:rFonts w:hint="eastAsia" w:ascii="HYShuSongErKW" w:hAnsi="HYShuSongErKW" w:eastAsia="HYShuSongErKW" w:cs="HYShuSongErKW"/>
                <w:color w:val="000000"/>
                <w:kern w:val="0"/>
                <w:sz w:val="20"/>
                <w:szCs w:val="20"/>
                <w:lang w:val="en-US" w:eastAsia="zh-CN" w:bidi="ar"/>
              </w:rPr>
              <w:t>，</w:t>
            </w:r>
            <w:r>
              <w:rPr>
                <w:rFonts w:hint="default" w:ascii="Arial" w:hAnsi="Arial" w:eastAsia="宋体" w:cs="Arial"/>
                <w:color w:val="000000"/>
                <w:kern w:val="0"/>
                <w:sz w:val="20"/>
                <w:szCs w:val="20"/>
                <w:lang w:val="en-US" w:eastAsia="zh-CN" w:bidi="ar"/>
              </w:rPr>
              <w:t>NCAM1</w:t>
            </w:r>
            <w:r>
              <w:rPr>
                <w:rFonts w:hint="eastAsia" w:ascii="HYShuSongErKW" w:hAnsi="HYShuSongErKW" w:eastAsia="HYShuSongErKW" w:cs="HYShuSongErKW"/>
                <w:color w:val="000000"/>
                <w:kern w:val="0"/>
                <w:sz w:val="20"/>
                <w:szCs w:val="20"/>
                <w:lang w:val="en-US" w:eastAsia="zh-CN" w:bidi="ar"/>
              </w:rPr>
              <w:t>，</w:t>
            </w:r>
            <w:r>
              <w:rPr>
                <w:rFonts w:hint="default" w:ascii="Arial" w:hAnsi="Arial" w:eastAsia="宋体" w:cs="Arial"/>
                <w:color w:val="000000"/>
                <w:kern w:val="0"/>
                <w:sz w:val="20"/>
                <w:szCs w:val="20"/>
                <w:lang w:val="en-US" w:eastAsia="zh-CN" w:bidi="ar"/>
              </w:rPr>
              <w:t>CNTN1</w:t>
            </w:r>
            <w:r>
              <w:rPr>
                <w:rFonts w:hint="eastAsia" w:ascii="HYShuSongErKW" w:hAnsi="HYShuSongErKW" w:eastAsia="HYShuSongErKW" w:cs="HYShuSongErKW"/>
                <w:color w:val="000000"/>
                <w:kern w:val="0"/>
                <w:sz w:val="20"/>
                <w:szCs w:val="20"/>
                <w:lang w:val="en-US" w:eastAsia="zh-CN" w:bidi="ar"/>
              </w:rPr>
              <w:t xml:space="preserve">， </w:t>
            </w:r>
          </w:p>
          <w:p>
            <w:pPr>
              <w:jc w:val="center"/>
            </w:pPr>
            <w:r>
              <w:rPr>
                <w:rFonts w:hint="default" w:ascii="Arial" w:hAnsi="Arial" w:eastAsia="宋体" w:cs="Arial"/>
                <w:color w:val="000000"/>
                <w:sz w:val="20"/>
                <w:szCs w:val="20"/>
              </w:rPr>
              <w:t>MBL</w:t>
            </w:r>
            <w:r>
              <w:rPr>
                <w:rFonts w:hint="eastAsia" w:ascii="HYShuSongErKW" w:hAnsi="HYShuSongErKW" w:eastAsia="HYShuSongErKW" w:cs="HYShuSongErKW"/>
                <w:color w:val="000000"/>
                <w:sz w:val="20"/>
                <w:szCs w:val="20"/>
              </w:rPr>
              <w:t>，</w:t>
            </w:r>
            <w:r>
              <w:rPr>
                <w:rFonts w:hint="default" w:ascii="Arial" w:hAnsi="Arial" w:eastAsia="宋体" w:cs="Arial"/>
                <w:color w:val="000000"/>
                <w:sz w:val="20"/>
                <w:szCs w:val="20"/>
              </w:rPr>
              <w:t xml:space="preserve">IgA2 </w:t>
            </w:r>
            <w:r>
              <w:rPr>
                <w:rFonts w:hint="eastAsia" w:ascii="HYShuSongErKW" w:hAnsi="HYShuSongErKW" w:eastAsia="HYShuSongErKW" w:cs="HYShuSongErKW"/>
                <w:color w:val="000000"/>
                <w:sz w:val="20"/>
                <w:szCs w:val="20"/>
              </w:rPr>
              <w:t>在内的肾脏病理诊断所必须的抗体</w:t>
            </w:r>
          </w:p>
        </w:tc>
      </w:tr>
    </w:tbl>
    <w:p>
      <w:pPr>
        <w:spacing w:after="20"/>
        <w:rPr>
          <w:rFonts w:ascii="宋体" w:hAnsi="宋体" w:eastAsia="宋体"/>
          <w:szCs w:val="21"/>
        </w:rPr>
      </w:pPr>
      <w:r>
        <w:rPr>
          <w:rFonts w:hint="eastAsia" w:ascii="宋体" w:hAnsi="宋体" w:eastAsia="宋体"/>
          <w:szCs w:val="21"/>
        </w:rPr>
        <w:t>2.对供应商基本要求：</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2.1 中国境内注册的独立法人。</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2.2 不接受联合体投标。</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2.3 必须</w:t>
      </w:r>
      <w:r>
        <w:rPr>
          <w:rFonts w:hint="eastAsia" w:ascii="宋体" w:hAnsi="宋体" w:eastAsia="宋体"/>
          <w:color w:val="FF0000"/>
          <w:szCs w:val="21"/>
        </w:rPr>
        <w:t>通过易普优采平台</w:t>
      </w:r>
      <w:r>
        <w:rPr>
          <w:rFonts w:hint="eastAsia" w:ascii="宋体" w:hAnsi="宋体" w:eastAsia="宋体"/>
          <w:szCs w:val="21"/>
        </w:rPr>
        <w:t>向北京大学第一医院医学装备处报名，并提供要求的资质文件参加资格预审。</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ind w:firstLine="420" w:firstLineChars="0"/>
        <w:jc w:val="left"/>
        <w:rPr>
          <w:rFonts w:hint="eastAsia" w:ascii="宋体" w:hAnsi="宋体" w:eastAsia="宋体"/>
          <w:szCs w:val="21"/>
        </w:rPr>
      </w:pPr>
      <w:r>
        <w:rPr>
          <w:rFonts w:hint="eastAsia" w:ascii="宋体" w:hAnsi="宋体" w:eastAsia="宋体"/>
          <w:szCs w:val="21"/>
        </w:rPr>
        <w:t>3.1 供应商需在</w:t>
      </w:r>
      <w:r>
        <w:rPr>
          <w:rFonts w:ascii="HYQiHeiKW" w:hAnsi="HYQiHeiKW" w:eastAsia="HYQiHeiKW" w:cs="HYQiHeiKW"/>
          <w:color w:val="FF0000"/>
          <w:sz w:val="22"/>
          <w:szCs w:val="22"/>
        </w:rPr>
        <w:t>2022 年 8 月25 日 16 时</w:t>
      </w:r>
      <w:r>
        <w:rPr>
          <w:rFonts w:hint="eastAsia" w:ascii="宋体" w:hAnsi="宋体" w:eastAsia="宋体"/>
          <w:szCs w:val="21"/>
        </w:rPr>
        <w:t>前到易普优采平台报名</w:t>
      </w:r>
      <w:r>
        <w:rPr>
          <w:rFonts w:hint="eastAsia" w:ascii="宋体" w:hAnsi="宋体" w:eastAsia="宋体"/>
          <w:color w:val="000000"/>
          <w:sz w:val="18"/>
        </w:rPr>
        <w:t>。</w:t>
      </w:r>
      <w:r>
        <w:rPr>
          <w:rFonts w:hint="eastAsia" w:ascii="宋体" w:hAnsi="宋体" w:eastAsia="宋体"/>
          <w:szCs w:val="21"/>
        </w:rPr>
        <w:t>易普优采平台注册链接：</w:t>
      </w:r>
      <w:r>
        <w:rPr>
          <w:rFonts w:hint="eastAsia" w:ascii="宋体" w:hAnsi="宋体" w:eastAsia="宋体"/>
          <w:szCs w:val="21"/>
        </w:rPr>
        <w:fldChar w:fldCharType="begin"/>
      </w:r>
      <w:r>
        <w:rPr>
          <w:rFonts w:hint="eastAsia" w:ascii="宋体" w:hAnsi="宋体" w:eastAsia="宋体"/>
          <w:szCs w:val="21"/>
        </w:rPr>
        <w:instrText xml:space="preserve"> HYPERLINK "https://ecp.vhepro.com" </w:instrText>
      </w:r>
      <w:r>
        <w:rPr>
          <w:rFonts w:hint="eastAsia" w:ascii="宋体" w:hAnsi="宋体" w:eastAsia="宋体"/>
          <w:szCs w:val="21"/>
        </w:rPr>
        <w:fldChar w:fldCharType="separate"/>
      </w:r>
      <w:r>
        <w:rPr>
          <w:rFonts w:hint="eastAsia" w:ascii="宋体" w:hAnsi="宋体" w:eastAsia="宋体"/>
          <w:szCs w:val="21"/>
        </w:rPr>
        <w:t>https://ecp.vhepro.com</w:t>
      </w:r>
      <w:r>
        <w:rPr>
          <w:rFonts w:hint="eastAsia" w:ascii="宋体" w:hAnsi="宋体" w:eastAsia="宋体"/>
          <w:szCs w:val="21"/>
        </w:rPr>
        <w:fldChar w:fldCharType="end"/>
      </w:r>
      <w:r>
        <w:rPr>
          <w:rFonts w:hint="eastAsia" w:ascii="宋体" w:hAnsi="宋体" w:eastAsia="宋体"/>
          <w:szCs w:val="21"/>
        </w:rPr>
        <w:t>。</w:t>
      </w:r>
      <w:r>
        <w:rPr>
          <w:rFonts w:hint="eastAsia" w:ascii="宋体" w:hAnsi="宋体" w:eastAsia="宋体"/>
          <w:color w:val="FF0000"/>
          <w:szCs w:val="21"/>
        </w:rPr>
        <w:t>请有报名意向的供应商务必看到公告后先去易普优采平台注册方可报名（注册审核时间一般在48小时内）。逾期报名无效。</w:t>
      </w:r>
    </w:p>
    <w:p>
      <w:pPr>
        <w:spacing w:after="20"/>
        <w:ind w:firstLine="420" w:firstLineChars="0"/>
        <w:jc w:val="left"/>
        <w:rPr>
          <w:rFonts w:hint="eastAsia" w:ascii="宋体" w:hAnsi="宋体" w:eastAsia="宋体"/>
          <w:szCs w:val="21"/>
        </w:rPr>
      </w:pPr>
      <w:r>
        <w:rPr>
          <w:rFonts w:hint="eastAsia" w:ascii="宋体" w:hAnsi="宋体" w:eastAsia="宋体"/>
          <w:szCs w:val="21"/>
        </w:rPr>
        <w:t xml:space="preserve">3.2 </w:t>
      </w:r>
      <w:r>
        <w:rPr>
          <w:rFonts w:hint="eastAsia" w:ascii="宋体" w:hAnsi="宋体" w:eastAsia="宋体"/>
          <w:color w:val="FF0000"/>
          <w:szCs w:val="21"/>
        </w:rPr>
        <w:t>在易普优采平台中</w:t>
      </w:r>
      <w:r>
        <w:rPr>
          <w:rFonts w:hint="eastAsia" w:ascii="宋体" w:hAnsi="宋体" w:eastAsia="宋体"/>
          <w:szCs w:val="21"/>
        </w:rPr>
        <w:t>报名时需提供资格预审要求的供应商资质及相关资料。</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default" w:ascii="宋体" w:hAnsi="宋体" w:eastAsia="宋体"/>
          <w:szCs w:val="21"/>
          <w:lang w:val="en-US" w:eastAsia="zh-CN"/>
        </w:rPr>
      </w:pPr>
      <w:r>
        <w:rPr>
          <w:rFonts w:hint="eastAsia" w:ascii="宋体" w:hAnsi="宋体" w:eastAsia="宋体"/>
          <w:szCs w:val="21"/>
          <w:lang w:val="en-US" w:eastAsia="zh-CN"/>
        </w:rPr>
        <w:t>3.3 资格预审资质要求请点击 北京大学第一医院——公众入口——科室介绍——职能处室——医学装备处——招投标专区，自行下载：北京大学第一医院医学装备处论证会资质证明文件要求（医用耗材类）</w:t>
      </w:r>
    </w:p>
    <w:p>
      <w:pPr>
        <w:spacing w:after="20"/>
        <w:rPr>
          <w:rFonts w:hint="default" w:ascii="宋体" w:hAnsi="宋体" w:eastAsia="宋体"/>
          <w:szCs w:val="21"/>
          <w:lang w:val="en-US" w:eastAsia="zh-CN"/>
        </w:rPr>
      </w:pPr>
      <w:r>
        <w:rPr>
          <w:rFonts w:hint="eastAsia" w:ascii="宋体" w:hAnsi="宋体" w:eastAsia="宋体"/>
          <w:szCs w:val="21"/>
        </w:rPr>
        <w:t>4.</w:t>
      </w:r>
      <w:r>
        <w:rPr>
          <w:rFonts w:hint="eastAsia" w:ascii="宋体" w:hAnsi="宋体" w:eastAsia="宋体"/>
          <w:color w:val="FF0000"/>
          <w:szCs w:val="21"/>
          <w:lang w:val="en-US" w:eastAsia="zh-CN"/>
        </w:rPr>
        <w:t>论证会通知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4.1通过资格预审的供应商，将收到资格预审通过通知。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color w:val="FF0000"/>
          <w:szCs w:val="21"/>
          <w:lang w:val="en-US" w:eastAsia="zh-CN"/>
        </w:rPr>
      </w:pPr>
      <w:r>
        <w:rPr>
          <w:rFonts w:hint="eastAsia" w:ascii="宋体" w:hAnsi="宋体" w:eastAsia="宋体"/>
          <w:color w:val="FF0000"/>
          <w:szCs w:val="21"/>
          <w:lang w:val="en-US" w:eastAsia="zh-CN"/>
        </w:rPr>
        <w:t>4.2 通过易普优采平台发放邀请公告，通知论证会相关事项</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lang w:val="en-US" w:eastAsia="zh-CN"/>
        </w:rPr>
        <w:t>4.3北京大学第一医院医学装备处</w:t>
      </w:r>
      <w:r>
        <w:rPr>
          <w:rFonts w:hint="eastAsia" w:ascii="宋体" w:hAnsi="宋体" w:eastAsia="宋体"/>
          <w:color w:val="FF0000"/>
          <w:szCs w:val="21"/>
          <w:lang w:val="en-US" w:eastAsia="zh-CN"/>
        </w:rPr>
        <w:t>同时会</w:t>
      </w:r>
      <w:r>
        <w:rPr>
          <w:rFonts w:hint="eastAsia" w:ascii="宋体" w:hAnsi="宋体" w:eastAsia="宋体"/>
          <w:szCs w:val="21"/>
          <w:lang w:val="en-US" w:eastAsia="zh-CN"/>
        </w:rPr>
        <w:t>以电话的形式通知供应商采购论证时间及地点。</w:t>
      </w:r>
    </w:p>
    <w:p>
      <w:pPr>
        <w:keepNext w:val="0"/>
        <w:keepLines w:val="0"/>
        <w:pageBreakBefore w:val="0"/>
        <w:widowControl w:val="0"/>
        <w:kinsoku/>
        <w:wordWrap/>
        <w:overflowPunct/>
        <w:topLinePunct w:val="0"/>
        <w:autoSpaceDE/>
        <w:autoSpaceDN/>
        <w:bidi w:val="0"/>
        <w:adjustRightInd/>
        <w:snapToGrid/>
        <w:spacing w:after="20" w:line="240" w:lineRule="auto"/>
        <w:ind w:right="0" w:rightChars="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5.北京大学第一医院医学装备处地址及联系方式</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5.1地址：北京市西城区西什库大街8号北京大学第一医院急诊楼二楼C2-21医学装备处耗材办公室。</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5.2联系人及联系电话：  资质审核：</w:t>
      </w:r>
      <w:r>
        <w:rPr>
          <w:rFonts w:hint="eastAsia" w:ascii="宋体" w:hAnsi="宋体" w:eastAsia="宋体"/>
          <w:szCs w:val="21"/>
        </w:rPr>
        <w:t xml:space="preserve"> </w:t>
      </w:r>
      <w:r>
        <w:rPr>
          <w:rFonts w:ascii="HYShuSongErKW" w:hAnsi="HYShuSongErKW" w:eastAsia="HYShuSongErKW" w:cs="HYShuSongErKW"/>
          <w:color w:val="000000"/>
          <w:sz w:val="19"/>
          <w:szCs w:val="19"/>
        </w:rPr>
        <w:t>冯月 83572275； 咨询：陆充 83575086 谭艳芬 83572637</w:t>
      </w:r>
      <w:r>
        <w:rPr>
          <w:rFonts w:hint="eastAsia" w:ascii="宋体" w:hAnsi="宋体" w:eastAsia="宋体"/>
          <w:szCs w:val="21"/>
          <w:lang w:val="en-US" w:eastAsia="zh-CN"/>
        </w:rPr>
        <w:t>；</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5.3电子邮箱：HCGL5258@163.com</w:t>
      </w:r>
    </w:p>
    <w:p>
      <w:pPr>
        <w:spacing w:after="20"/>
        <w:rPr>
          <w:rFonts w:ascii="宋体" w:hAnsi="宋体" w:eastAsia="宋体"/>
          <w:szCs w:val="21"/>
        </w:rPr>
      </w:pPr>
      <w:r>
        <w:rPr>
          <w:rFonts w:hint="eastAsia" w:ascii="宋体" w:hAnsi="宋体" w:eastAsia="宋体"/>
          <w:szCs w:val="21"/>
          <w:lang w:val="en-US" w:eastAsia="zh-CN"/>
        </w:rPr>
        <w:t>6</w:t>
      </w:r>
      <w:r>
        <w:rPr>
          <w:rFonts w:hint="eastAsia" w:ascii="宋体" w:hAnsi="宋体" w:eastAsia="宋体"/>
          <w:szCs w:val="21"/>
        </w:rPr>
        <w:t>.本项目采购论证公告、修改公告和中标公告将在北京大学第一医院官方网站（http://www.pkufh.com）上刊登。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ind w:left="5040" w:leftChars="0" w:firstLine="420" w:firstLineChars="0"/>
        <w:jc w:val="center"/>
      </w:pPr>
      <w:r>
        <w:rPr>
          <w:rFonts w:hint="default" w:ascii="宋体" w:hAnsi="宋体" w:eastAsia="宋体"/>
          <w:color w:val="000000"/>
          <w:sz w:val="18"/>
          <w:lang w:eastAsia="zh-CN"/>
        </w:rPr>
        <w:t>2022</w:t>
      </w:r>
      <w:r>
        <w:rPr>
          <w:rFonts w:hint="eastAsia" w:ascii="宋体" w:hAnsi="宋体" w:eastAsia="宋体"/>
          <w:color w:val="000000"/>
          <w:sz w:val="18"/>
          <w:lang w:val="en-US" w:eastAsia="zh-CN"/>
        </w:rPr>
        <w:t xml:space="preserve">年 </w:t>
      </w:r>
      <w:r>
        <w:rPr>
          <w:rFonts w:hint="default" w:ascii="宋体" w:hAnsi="宋体" w:eastAsia="宋体"/>
          <w:color w:val="000000"/>
          <w:sz w:val="18"/>
          <w:lang w:eastAsia="zh-CN"/>
        </w:rPr>
        <w:t>8</w:t>
      </w:r>
      <w:r>
        <w:rPr>
          <w:rFonts w:hint="eastAsia" w:ascii="宋体" w:hAnsi="宋体" w:eastAsia="宋体"/>
          <w:color w:val="000000"/>
          <w:sz w:val="18"/>
          <w:lang w:val="en-US" w:eastAsia="zh-CN"/>
        </w:rPr>
        <w:t xml:space="preserve">月 </w:t>
      </w:r>
      <w:r>
        <w:rPr>
          <w:rFonts w:hint="default" w:ascii="宋体" w:hAnsi="宋体" w:eastAsia="宋体"/>
          <w:color w:val="000000"/>
          <w:sz w:val="18"/>
          <w:lang w:eastAsia="zh-CN"/>
        </w:rPr>
        <w:t>18</w:t>
      </w:r>
      <w:r>
        <w:rPr>
          <w:rFonts w:hint="eastAsia" w:ascii="宋体" w:hAnsi="宋体" w:eastAsia="宋体"/>
          <w:color w:val="000000"/>
          <w:sz w:val="18"/>
          <w:lang w:val="en-US" w:eastAsia="zh-CN"/>
        </w:rPr>
        <w:t>日</w:t>
      </w:r>
      <w:r>
        <w:rPr>
          <w:rFonts w:hint="eastAsia" w:ascii="宋体" w:hAnsi="宋体" w:eastAsia="宋体"/>
          <w:szCs w:val="21"/>
        </w:rPr>
        <w:t xml:space="preserve">                                                                    </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HYShuSongErKW">
    <w:altName w:val="宋体"/>
    <w:panose1 w:val="00020600040101010101"/>
    <w:charset w:val="86"/>
    <w:family w:val="auto"/>
    <w:pitch w:val="default"/>
    <w:sig w:usb0="00000000" w:usb1="00000000" w:usb2="00000016" w:usb3="00000000" w:csb0="00040000" w:csb1="00000000"/>
  </w:font>
  <w:font w:name="HYQiHeiKW">
    <w:altName w:val="宋体"/>
    <w:panose1 w:val="00020600040101010101"/>
    <w:charset w:val="86"/>
    <w:family w:val="auto"/>
    <w:pitch w:val="default"/>
    <w:sig w:usb0="00000000" w:usb1="00000000"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zM2JmMjQ3YzBlMjdhYjgzNjA2MjNlYjM2MWYzZTQifQ=="/>
  </w:docVars>
  <w:rsids>
    <w:rsidRoot w:val="BE66D9E2"/>
    <w:rsid w:val="05346567"/>
    <w:rsid w:val="2E28383A"/>
    <w:rsid w:val="3C32093B"/>
    <w:rsid w:val="4030659D"/>
    <w:rsid w:val="4F9376D6"/>
    <w:rsid w:val="5877170F"/>
    <w:rsid w:val="6327594B"/>
    <w:rsid w:val="6C9E1478"/>
    <w:rsid w:val="6F236A76"/>
    <w:rsid w:val="7B4B16B7"/>
    <w:rsid w:val="7E6A5888"/>
    <w:rsid w:val="A6FF5067"/>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854</Words>
  <Characters>1065</Characters>
  <Lines>0</Lines>
  <Paragraphs>0</Paragraphs>
  <TotalTime>2</TotalTime>
  <ScaleCrop>false</ScaleCrop>
  <LinksUpToDate>false</LinksUpToDate>
  <CharactersWithSpaces>1226</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2021-12-22T00:24:00Z</dcterms:created>
  <dc:creator>olivia</dc:creator>
  <cp:lastModifiedBy>DCC</cp:lastModifiedBy>
  <dcterms:modified xsi:type="dcterms:W3CDTF">2022-08-18T04:20:35Z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9B65B7331ABE4EDDA56A0CE3D65FF31E</vt:lpwstr>
  </property>
</Properties>
</file>