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微导管</w:t>
      </w:r>
      <w:r>
        <w:rPr>
          <w:rFonts w:hint="eastAsia" w:ascii="宋体" w:hAnsi="宋体" w:eastAsia="宋体"/>
          <w:b/>
          <w:szCs w:val="21"/>
        </w:rPr>
        <w:t>”采购</w:t>
      </w:r>
      <w:r>
        <w:rPr>
          <w:rFonts w:ascii="宋体" w:hAnsi="宋体" w:eastAsia="宋体"/>
          <w:b/>
          <w:szCs w:val="21"/>
        </w:rPr>
        <w:t>论证公告</w:t>
      </w:r>
    </w:p>
    <w:p>
      <w:pPr>
        <w:keepNext w:val="0"/>
        <w:keepLines w:val="0"/>
        <w:pageBreakBefore w:val="0"/>
        <w:widowControl w:val="0"/>
        <w:kinsoku/>
        <w:wordWrap/>
        <w:overflowPunct/>
        <w:topLinePunct w:val="0"/>
        <w:autoSpaceDE/>
        <w:autoSpaceDN/>
        <w:bidi w:val="0"/>
        <w:adjustRightInd/>
        <w:snapToGrid/>
        <w:spacing w:after="200" w:line="300" w:lineRule="exact"/>
        <w:jc w:val="left"/>
        <w:textAlignment w:val="auto"/>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微导管</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lang w:val="en-US" w:eastAsia="zh-CN"/>
        </w:rPr>
        <w:t>2022-耗材-Lz-041（2）</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神经外科</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1.4采购论证性质：院内论</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1.5资金来源：自筹经费</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6"/>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微导管</w:t>
            </w:r>
          </w:p>
        </w:tc>
        <w:tc>
          <w:tcPr>
            <w:tcW w:w="6612" w:type="dxa"/>
          </w:tcPr>
          <w:p>
            <w:pPr>
              <w:pStyle w:val="16"/>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用于脑血管畸形Onyx介入栓塞治疗，输注Onyx液体栓塞建立神经血管通路；</w:t>
            </w:r>
          </w:p>
          <w:p>
            <w:pPr>
              <w:pStyle w:val="16"/>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头端可机械解脱；</w:t>
            </w:r>
          </w:p>
          <w:p>
            <w:pPr>
              <w:pStyle w:val="16"/>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28</w:t>
      </w:r>
      <w:bookmarkStart w:id="0" w:name="_GoBack"/>
      <w:bookmarkEnd w:id="0"/>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2年6</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6E261D"/>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5712094"/>
    <w:rsid w:val="067D3D15"/>
    <w:rsid w:val="083F4098"/>
    <w:rsid w:val="099B1EEA"/>
    <w:rsid w:val="09A62C69"/>
    <w:rsid w:val="0B5915DC"/>
    <w:rsid w:val="0C617ED3"/>
    <w:rsid w:val="0D9051AE"/>
    <w:rsid w:val="0DC53ECC"/>
    <w:rsid w:val="0DEF0671"/>
    <w:rsid w:val="0E337630"/>
    <w:rsid w:val="0F4D40CC"/>
    <w:rsid w:val="0FA94CF2"/>
    <w:rsid w:val="10C14F11"/>
    <w:rsid w:val="11334CD6"/>
    <w:rsid w:val="123542C9"/>
    <w:rsid w:val="124E2E35"/>
    <w:rsid w:val="126E5411"/>
    <w:rsid w:val="19744314"/>
    <w:rsid w:val="1A283299"/>
    <w:rsid w:val="1AF114D0"/>
    <w:rsid w:val="1D5856D2"/>
    <w:rsid w:val="1D9249D4"/>
    <w:rsid w:val="1E017793"/>
    <w:rsid w:val="1EB403E6"/>
    <w:rsid w:val="1F7B6943"/>
    <w:rsid w:val="20287728"/>
    <w:rsid w:val="20764738"/>
    <w:rsid w:val="22514BF9"/>
    <w:rsid w:val="225C1658"/>
    <w:rsid w:val="22927D20"/>
    <w:rsid w:val="229A716B"/>
    <w:rsid w:val="23191F66"/>
    <w:rsid w:val="25566D31"/>
    <w:rsid w:val="25D25F42"/>
    <w:rsid w:val="26545375"/>
    <w:rsid w:val="26B40A45"/>
    <w:rsid w:val="26C43BB8"/>
    <w:rsid w:val="27BB77CA"/>
    <w:rsid w:val="2BCD543C"/>
    <w:rsid w:val="2C785B75"/>
    <w:rsid w:val="2CD055B1"/>
    <w:rsid w:val="2D012AC0"/>
    <w:rsid w:val="2E3B1F9E"/>
    <w:rsid w:val="31651E0A"/>
    <w:rsid w:val="31794195"/>
    <w:rsid w:val="332A387A"/>
    <w:rsid w:val="34332D06"/>
    <w:rsid w:val="36CE403F"/>
    <w:rsid w:val="37912E32"/>
    <w:rsid w:val="38DF31EB"/>
    <w:rsid w:val="395A4987"/>
    <w:rsid w:val="3A0D381E"/>
    <w:rsid w:val="3A2F4714"/>
    <w:rsid w:val="3B1B0A85"/>
    <w:rsid w:val="3D43120E"/>
    <w:rsid w:val="4030761D"/>
    <w:rsid w:val="40640A3F"/>
    <w:rsid w:val="410840D3"/>
    <w:rsid w:val="416D4904"/>
    <w:rsid w:val="436E3986"/>
    <w:rsid w:val="440F5F7C"/>
    <w:rsid w:val="44EF2309"/>
    <w:rsid w:val="45137ED3"/>
    <w:rsid w:val="45162E18"/>
    <w:rsid w:val="45331138"/>
    <w:rsid w:val="45C26229"/>
    <w:rsid w:val="49C24B69"/>
    <w:rsid w:val="49F716DE"/>
    <w:rsid w:val="4BFE047C"/>
    <w:rsid w:val="4D254A48"/>
    <w:rsid w:val="4DE456C5"/>
    <w:rsid w:val="4F8E6D2E"/>
    <w:rsid w:val="502622C4"/>
    <w:rsid w:val="51F65C6F"/>
    <w:rsid w:val="52097231"/>
    <w:rsid w:val="528A5799"/>
    <w:rsid w:val="52D07DCD"/>
    <w:rsid w:val="52E007C4"/>
    <w:rsid w:val="5401645F"/>
    <w:rsid w:val="555B6603"/>
    <w:rsid w:val="592C613F"/>
    <w:rsid w:val="59B26BDA"/>
    <w:rsid w:val="5ACD46E2"/>
    <w:rsid w:val="5B0D6246"/>
    <w:rsid w:val="5B43456F"/>
    <w:rsid w:val="5B7F5687"/>
    <w:rsid w:val="5B8F09F9"/>
    <w:rsid w:val="5C65348F"/>
    <w:rsid w:val="5CEC6CE8"/>
    <w:rsid w:val="5D7B0010"/>
    <w:rsid w:val="5D8A2DE9"/>
    <w:rsid w:val="5E180838"/>
    <w:rsid w:val="5E7B2F40"/>
    <w:rsid w:val="607C6264"/>
    <w:rsid w:val="610F0A45"/>
    <w:rsid w:val="65B85280"/>
    <w:rsid w:val="65C725EA"/>
    <w:rsid w:val="66762480"/>
    <w:rsid w:val="674A67DF"/>
    <w:rsid w:val="6750596A"/>
    <w:rsid w:val="688E6253"/>
    <w:rsid w:val="68BA2E18"/>
    <w:rsid w:val="6BC764CF"/>
    <w:rsid w:val="6DC50965"/>
    <w:rsid w:val="6E9C2AD0"/>
    <w:rsid w:val="6EEB588E"/>
    <w:rsid w:val="711C7621"/>
    <w:rsid w:val="7263244E"/>
    <w:rsid w:val="72A91547"/>
    <w:rsid w:val="738F3B25"/>
    <w:rsid w:val="73A452F0"/>
    <w:rsid w:val="73D01DFF"/>
    <w:rsid w:val="73FF3395"/>
    <w:rsid w:val="746C471C"/>
    <w:rsid w:val="754A3BD1"/>
    <w:rsid w:val="75C91BC9"/>
    <w:rsid w:val="75F64DD4"/>
    <w:rsid w:val="760C667D"/>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character" w:customStyle="1" w:styleId="11">
    <w:name w:val="页眉 Char"/>
    <w:basedOn w:val="9"/>
    <w:link w:val="5"/>
    <w:qFormat/>
    <w:uiPriority w:val="99"/>
    <w:rPr>
      <w:kern w:val="2"/>
      <w:sz w:val="18"/>
      <w:szCs w:val="18"/>
    </w:rPr>
  </w:style>
  <w:style w:type="character" w:customStyle="1" w:styleId="12">
    <w:name w:val="页脚 Char"/>
    <w:basedOn w:val="9"/>
    <w:link w:val="4"/>
    <w:qFormat/>
    <w:uiPriority w:val="99"/>
    <w:rPr>
      <w:kern w:val="2"/>
      <w:sz w:val="18"/>
      <w:szCs w:val="18"/>
    </w:rPr>
  </w:style>
  <w:style w:type="character" w:customStyle="1" w:styleId="13">
    <w:name w:val="批注文字 Char"/>
    <w:basedOn w:val="9"/>
    <w:link w:val="2"/>
    <w:semiHidden/>
    <w:qFormat/>
    <w:uiPriority w:val="99"/>
    <w:rPr>
      <w:kern w:val="2"/>
      <w:sz w:val="21"/>
      <w:szCs w:val="22"/>
    </w:rPr>
  </w:style>
  <w:style w:type="character" w:customStyle="1" w:styleId="14">
    <w:name w:val="批注主题 Char"/>
    <w:basedOn w:val="13"/>
    <w:link w:val="6"/>
    <w:semiHidden/>
    <w:qFormat/>
    <w:uiPriority w:val="99"/>
    <w:rPr>
      <w:b/>
      <w:bCs/>
      <w:kern w:val="2"/>
      <w:sz w:val="21"/>
      <w:szCs w:val="22"/>
    </w:rPr>
  </w:style>
  <w:style w:type="character" w:customStyle="1" w:styleId="15">
    <w:name w:val="批注框文本 Char"/>
    <w:basedOn w:val="9"/>
    <w:link w:val="3"/>
    <w:semiHidden/>
    <w:qFormat/>
    <w:uiPriority w:val="99"/>
    <w:rPr>
      <w:kern w:val="2"/>
      <w:sz w:val="18"/>
      <w:szCs w:val="18"/>
    </w:rPr>
  </w:style>
  <w:style w:type="paragraph" w:customStyle="1" w:styleId="16">
    <w:name w:val="List Paragraph"/>
    <w:basedOn w:val="1"/>
    <w:qFormat/>
    <w:uiPriority w:val="34"/>
    <w:pPr>
      <w:ind w:firstLine="420" w:firstLineChars="200"/>
    </w:pPr>
  </w:style>
  <w:style w:type="paragraph" w:customStyle="1" w:styleId="17">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character" w:customStyle="1" w:styleId="18">
    <w:name w:val="not([class*=suffix])"/>
    <w:basedOn w:val="9"/>
    <w:qFormat/>
    <w:uiPriority w:val="0"/>
    <w:rPr>
      <w:sz w:val="19"/>
      <w:szCs w:val="19"/>
    </w:rPr>
  </w:style>
  <w:style w:type="character" w:customStyle="1" w:styleId="19">
    <w:name w:val="not([class*=suffix])1"/>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807</Words>
  <Characters>961</Characters>
  <Lines>15</Lines>
  <Paragraphs>4</Paragraphs>
  <TotalTime>3</TotalTime>
  <ScaleCrop>false</ScaleCrop>
  <LinksUpToDate>false</LinksUpToDate>
  <CharactersWithSpaces>6753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DCC</cp:lastModifiedBy>
  <cp:lastPrinted>2022-04-19T16:28:00Z</cp:lastPrinted>
  <dcterms:modified xsi:type="dcterms:W3CDTF">2022-06-21T00:21:04Z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AD569FD911704D129C2AB03767CB8678</vt:lpwstr>
  </property>
</Properties>
</file>