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“植入式心脏起搏器（</w:t>
      </w:r>
      <w:r>
        <w:rPr>
          <w:rFonts w:hint="eastAsia" w:ascii="宋体" w:hAnsi="宋体" w:eastAsia="宋体"/>
          <w:b/>
          <w:szCs w:val="21"/>
          <w:lang w:val="en-US" w:eastAsia="zh-CN"/>
        </w:rPr>
        <w:t>抗核磁</w:t>
      </w:r>
      <w:r>
        <w:rPr>
          <w:rFonts w:hint="eastAsia" w:ascii="宋体" w:hAnsi="宋体" w:eastAsia="宋体"/>
          <w:b/>
          <w:szCs w:val="21"/>
        </w:rPr>
        <w:t>双腔）”采购</w:t>
      </w:r>
      <w:r>
        <w:rPr>
          <w:rFonts w:ascii="宋体" w:hAnsi="宋体" w:eastAsia="宋体"/>
          <w:b/>
          <w:szCs w:val="21"/>
        </w:rPr>
        <w:t>论证公</w:t>
      </w:r>
      <w:r>
        <w:rPr>
          <w:rFonts w:ascii="宋体" w:hAnsi="宋体" w:eastAsia="宋体"/>
          <w:b/>
          <w:color w:val="000000"/>
          <w:szCs w:val="21"/>
        </w:rPr>
        <w:t>告</w:t>
      </w:r>
    </w:p>
    <w:p>
      <w:pPr>
        <w:spacing w:after="200"/>
        <w:jc w:val="left"/>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spacing w:after="20"/>
        <w:jc w:val="left"/>
        <w:rPr>
          <w:rFonts w:ascii="宋体" w:hAnsi="宋体" w:eastAsia="宋体"/>
          <w:szCs w:val="21"/>
        </w:rPr>
      </w:pPr>
      <w:r>
        <w:rPr>
          <w:rFonts w:ascii="宋体" w:hAnsi="宋体" w:eastAsia="宋体"/>
          <w:szCs w:val="21"/>
        </w:rPr>
        <w:t>1.论证简介</w:t>
      </w:r>
    </w:p>
    <w:p>
      <w:pPr>
        <w:spacing w:after="20"/>
        <w:jc w:val="left"/>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szCs w:val="21"/>
        </w:rPr>
        <w:t xml:space="preserve"> “植入式心脏起搏器（</w:t>
      </w:r>
      <w:r>
        <w:rPr>
          <w:rFonts w:hint="eastAsia" w:ascii="宋体" w:hAnsi="宋体" w:eastAsia="宋体"/>
          <w:b/>
          <w:szCs w:val="21"/>
          <w:lang w:val="en-US" w:eastAsia="zh-CN"/>
        </w:rPr>
        <w:t>抗核磁</w:t>
      </w:r>
      <w:r>
        <w:rPr>
          <w:rFonts w:hint="eastAsia" w:ascii="宋体" w:hAnsi="宋体" w:eastAsia="宋体"/>
          <w:b/>
          <w:szCs w:val="21"/>
        </w:rPr>
        <w:t>双腔）”</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spacing w:after="20"/>
        <w:jc w:val="left"/>
        <w:rPr>
          <w:rFonts w:hint="default"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w:t>
      </w:r>
      <w:r>
        <w:rPr>
          <w:rFonts w:hint="eastAsia" w:ascii="宋体" w:hAnsi="宋体" w:eastAsia="宋体"/>
          <w:b/>
          <w:bCs/>
          <w:szCs w:val="21"/>
          <w:lang w:val="en-US" w:eastAsia="zh-CN"/>
        </w:rPr>
        <w:t>31</w:t>
      </w:r>
      <w:r>
        <w:rPr>
          <w:rFonts w:hint="eastAsia" w:ascii="宋体" w:hAnsi="宋体" w:eastAsia="宋体"/>
          <w:b/>
          <w:bCs/>
          <w:szCs w:val="21"/>
          <w:lang w:eastAsia="zh-CN"/>
        </w:rPr>
        <w:t>（</w:t>
      </w:r>
      <w:r>
        <w:rPr>
          <w:rFonts w:hint="eastAsia" w:ascii="宋体" w:hAnsi="宋体" w:eastAsia="宋体"/>
          <w:b/>
          <w:bCs/>
          <w:szCs w:val="21"/>
          <w:lang w:val="en-US" w:eastAsia="zh-CN"/>
        </w:rPr>
        <w:t>2</w:t>
      </w:r>
      <w:r>
        <w:rPr>
          <w:rFonts w:hint="eastAsia" w:ascii="宋体" w:hAnsi="宋体" w:eastAsia="宋体"/>
          <w:b/>
          <w:bCs/>
          <w:szCs w:val="21"/>
          <w:lang w:eastAsia="zh-CN"/>
        </w:rPr>
        <w:t>）</w:t>
      </w:r>
    </w:p>
    <w:p>
      <w:pPr>
        <w:spacing w:after="20"/>
        <w:jc w:val="left"/>
        <w:rPr>
          <w:rFonts w:hint="eastAsia" w:ascii="宋体" w:hAnsi="宋体" w:eastAsia="宋体"/>
          <w:b/>
          <w:szCs w:val="21"/>
          <w:lang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eastAsia="zh-CN"/>
        </w:rPr>
        <w:t>心血管内科</w:t>
      </w:r>
    </w:p>
    <w:p>
      <w:pPr>
        <w:spacing w:after="20"/>
        <w:jc w:val="left"/>
        <w:rPr>
          <w:rFonts w:ascii="宋体" w:hAnsi="宋体" w:eastAsia="宋体"/>
          <w:szCs w:val="21"/>
        </w:rPr>
      </w:pPr>
      <w:r>
        <w:rPr>
          <w:rFonts w:ascii="宋体" w:hAnsi="宋体" w:eastAsia="宋体"/>
          <w:szCs w:val="21"/>
        </w:rPr>
        <w:t>1.4采购论证性质：院内论证</w:t>
      </w:r>
    </w:p>
    <w:p>
      <w:pPr>
        <w:spacing w:after="20"/>
        <w:jc w:val="left"/>
        <w:rPr>
          <w:rFonts w:ascii="宋体" w:hAnsi="宋体" w:eastAsia="宋体"/>
          <w:szCs w:val="21"/>
        </w:rPr>
      </w:pPr>
      <w:r>
        <w:rPr>
          <w:rFonts w:ascii="宋体" w:hAnsi="宋体" w:eastAsia="宋体"/>
          <w:szCs w:val="21"/>
        </w:rPr>
        <w:t>1.5资金来源：自筹经费</w:t>
      </w:r>
    </w:p>
    <w:p>
      <w:pPr>
        <w:spacing w:after="20"/>
        <w:jc w:val="left"/>
        <w:rPr>
          <w:rFonts w:ascii="宋体" w:hAnsi="宋体" w:eastAsia="宋体"/>
          <w:szCs w:val="21"/>
        </w:rPr>
      </w:pPr>
      <w:r>
        <w:rPr>
          <w:rFonts w:ascii="宋体" w:hAnsi="宋体" w:eastAsia="宋体"/>
          <w:szCs w:val="21"/>
        </w:rPr>
        <w:t>1.6评分办法：综合因素评定法</w:t>
      </w:r>
    </w:p>
    <w:p>
      <w:pPr>
        <w:spacing w:after="20"/>
        <w:jc w:val="left"/>
        <w:rPr>
          <w:rFonts w:ascii="宋体" w:hAnsi="宋体" w:eastAsia="宋体"/>
          <w:szCs w:val="21"/>
        </w:rPr>
      </w:pPr>
      <w:r>
        <w:rPr>
          <w:rFonts w:hint="eastAsia" w:ascii="宋体" w:hAnsi="宋体" w:eastAsia="宋体"/>
          <w:szCs w:val="21"/>
        </w:rPr>
        <w:t>1.7是否收取保证金：否</w:t>
      </w:r>
    </w:p>
    <w:p>
      <w:pPr>
        <w:spacing w:after="20"/>
        <w:jc w:val="left"/>
        <w:rPr>
          <w:rFonts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3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2197"/>
        <w:gridCol w:w="6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564" w:type="dxa"/>
            <w:shd w:val="clear" w:color="auto" w:fill="auto"/>
            <w:vAlign w:val="center"/>
          </w:tcPr>
          <w:p>
            <w:pPr>
              <w:widowControl/>
              <w:jc w:val="center"/>
              <w:rPr>
                <w:rFonts w:ascii="宋体" w:hAnsi="宋体" w:eastAsia="宋体" w:cs="宋体"/>
                <w:szCs w:val="21"/>
              </w:rPr>
            </w:pPr>
            <w:r>
              <w:rPr>
                <w:rFonts w:hint="eastAsia" w:ascii="宋体" w:hAnsi="宋体" w:eastAsia="宋体" w:cs="宋体"/>
                <w:szCs w:val="21"/>
              </w:rPr>
              <w:t>序号</w:t>
            </w:r>
          </w:p>
        </w:tc>
        <w:tc>
          <w:tcPr>
            <w:tcW w:w="2197"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产品名称</w:t>
            </w:r>
          </w:p>
        </w:tc>
        <w:tc>
          <w:tcPr>
            <w:tcW w:w="6577" w:type="dxa"/>
          </w:tcPr>
          <w:p>
            <w:pPr>
              <w:spacing w:before="240" w:after="240"/>
              <w:ind w:firstLine="1365" w:firstLineChars="650"/>
              <w:rPr>
                <w:rFonts w:ascii="宋体" w:hAnsi="宋体" w:eastAsia="宋体" w:cs="宋体"/>
                <w:szCs w:val="21"/>
              </w:rPr>
            </w:pPr>
            <w:r>
              <w:rPr>
                <w:rFonts w:hint="eastAsia" w:ascii="宋体" w:hAnsi="宋体" w:eastAsia="宋体" w:cs="宋体"/>
                <w:szCs w:val="21"/>
              </w:rPr>
              <w:t>主要</w:t>
            </w:r>
            <w:r>
              <w:rPr>
                <w:rFonts w:ascii="宋体" w:hAnsi="宋体" w:eastAsia="宋体" w:cs="宋体"/>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564"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2197" w:type="dxa"/>
            <w:shd w:val="clear" w:color="auto" w:fill="auto"/>
            <w:vAlign w:val="center"/>
          </w:tcPr>
          <w:p>
            <w:pPr>
              <w:jc w:val="left"/>
              <w:rPr>
                <w:rFonts w:ascii="宋体" w:hAnsi="宋体" w:eastAsia="宋体" w:cs="宋体"/>
                <w:szCs w:val="21"/>
              </w:rPr>
            </w:pPr>
            <w:r>
              <w:rPr>
                <w:rFonts w:hint="eastAsia" w:ascii="宋体" w:hAnsi="宋体" w:eastAsia="宋体"/>
                <w:b w:val="0"/>
                <w:bCs/>
                <w:szCs w:val="21"/>
                <w:lang w:eastAsia="zh-CN"/>
              </w:rPr>
              <w:t>植入式心脏起搏器</w:t>
            </w:r>
          </w:p>
        </w:tc>
        <w:tc>
          <w:tcPr>
            <w:tcW w:w="6577" w:type="dxa"/>
          </w:tcPr>
          <w:p>
            <w:pPr>
              <w:pStyle w:val="16"/>
              <w:numPr>
                <w:ilvl w:val="0"/>
                <w:numId w:val="1"/>
              </w:numPr>
              <w:ind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用于治疗心律失常；</w:t>
            </w:r>
          </w:p>
          <w:p>
            <w:pPr>
              <w:pStyle w:val="16"/>
              <w:numPr>
                <w:ilvl w:val="0"/>
                <w:numId w:val="1"/>
              </w:numPr>
              <w:ind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双腔起搏器</w:t>
            </w:r>
            <w:r>
              <w:rPr>
                <w:rFonts w:hint="default" w:ascii="宋体" w:hAnsi="宋体" w:eastAsia="宋体" w:cs="宋体"/>
                <w:szCs w:val="21"/>
                <w:lang w:eastAsia="zh-CN"/>
              </w:rPr>
              <w:t>，</w:t>
            </w:r>
            <w:r>
              <w:rPr>
                <w:rFonts w:hint="eastAsia" w:ascii="宋体" w:hAnsi="宋体" w:eastAsia="宋体" w:cs="宋体"/>
                <w:szCs w:val="21"/>
                <w:lang w:val="en-US" w:eastAsia="zh-Hans"/>
              </w:rPr>
              <w:t>并提供</w:t>
            </w:r>
            <w:r>
              <w:rPr>
                <w:rFonts w:hint="eastAsia" w:ascii="宋体" w:hAnsi="宋体" w:eastAsia="宋体" w:cs="宋体"/>
                <w:szCs w:val="21"/>
                <w:lang w:val="en-US" w:eastAsia="zh-CN"/>
              </w:rPr>
              <w:t>适配的起搏电极导线;</w:t>
            </w:r>
          </w:p>
          <w:p>
            <w:pPr>
              <w:pStyle w:val="16"/>
              <w:numPr>
                <w:ilvl w:val="0"/>
                <w:numId w:val="1"/>
              </w:numPr>
              <w:ind w:firstLineChars="0"/>
              <w:rPr>
                <w:rFonts w:hint="default" w:ascii="宋体" w:hAnsi="宋体" w:eastAsia="宋体" w:cs="宋体"/>
                <w:szCs w:val="21"/>
                <w:lang w:val="en-US" w:eastAsia="zh-CN"/>
              </w:rPr>
            </w:pPr>
            <w:r>
              <w:rPr>
                <w:rFonts w:hint="eastAsia" w:ascii="宋体" w:hAnsi="宋体" w:eastAsia="宋体" w:cs="宋体"/>
                <w:szCs w:val="21"/>
                <w:lang w:val="en-US" w:eastAsia="zh-Hans"/>
              </w:rPr>
              <w:t>体积小</w:t>
            </w:r>
            <w:r>
              <w:rPr>
                <w:rFonts w:hint="default" w:ascii="宋体" w:hAnsi="宋体" w:eastAsia="宋体" w:cs="宋体"/>
                <w:szCs w:val="21"/>
                <w:lang w:eastAsia="zh-Hans"/>
              </w:rPr>
              <w:t>，</w:t>
            </w:r>
            <w:r>
              <w:rPr>
                <w:rFonts w:hint="eastAsia" w:ascii="宋体" w:hAnsi="宋体" w:eastAsia="宋体" w:cs="宋体"/>
                <w:szCs w:val="21"/>
                <w:lang w:val="en-US" w:eastAsia="zh-CN"/>
              </w:rPr>
              <w:t>术后可接受临床1.5T核磁共振成像全身检查</w:t>
            </w:r>
            <w:r>
              <w:rPr>
                <w:rFonts w:hint="default" w:ascii="宋体" w:hAnsi="宋体" w:eastAsia="宋体" w:cs="宋体"/>
                <w:szCs w:val="21"/>
                <w:lang w:eastAsia="zh-CN"/>
              </w:rPr>
              <w:t>，</w:t>
            </w:r>
            <w:r>
              <w:rPr>
                <w:rFonts w:hint="eastAsia" w:ascii="宋体" w:hAnsi="宋体" w:eastAsia="宋体" w:cs="宋体"/>
                <w:szCs w:val="21"/>
                <w:lang w:val="en-US" w:eastAsia="zh-Hans"/>
              </w:rPr>
              <w:t>患者等待时间短</w:t>
            </w:r>
            <w:r>
              <w:rPr>
                <w:rFonts w:hint="eastAsia" w:ascii="宋体" w:hAnsi="宋体" w:eastAsia="宋体" w:cs="宋体"/>
                <w:szCs w:val="21"/>
                <w:lang w:val="en-US" w:eastAsia="zh-CN"/>
              </w:rPr>
              <w:t>；</w:t>
            </w:r>
          </w:p>
          <w:p>
            <w:pPr>
              <w:pStyle w:val="16"/>
              <w:numPr>
                <w:ilvl w:val="0"/>
                <w:numId w:val="1"/>
              </w:numPr>
              <w:ind w:firstLineChars="0"/>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p>
            <w:pPr>
              <w:pStyle w:val="16"/>
              <w:numPr>
                <w:ilvl w:val="0"/>
                <w:numId w:val="1"/>
              </w:numPr>
              <w:ind w:firstLineChars="0"/>
              <w:rPr>
                <w:rFonts w:ascii="宋体" w:hAnsi="宋体" w:eastAsia="宋体" w:cs="宋体"/>
                <w:szCs w:val="21"/>
              </w:rPr>
            </w:pPr>
            <w:r>
              <w:rPr>
                <w:rFonts w:hint="eastAsia" w:ascii="宋体" w:hAnsi="宋体" w:eastAsia="宋体" w:cs="宋体"/>
                <w:szCs w:val="21"/>
                <w:lang w:val="en-US" w:eastAsia="zh-CN"/>
              </w:rPr>
              <w:t>带量采购中标产品。</w:t>
            </w:r>
          </w:p>
        </w:tc>
      </w:tr>
    </w:tbl>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2.对供应商基本要求：</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2.1 中国境内注册的独立法人。</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2.2 不接受联合体投标。</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3.供应商报名</w:t>
      </w:r>
    </w:p>
    <w:p>
      <w:pPr>
        <w:keepNext w:val="0"/>
        <w:keepLines w:val="0"/>
        <w:pageBreakBefore w:val="0"/>
        <w:widowControl w:val="0"/>
        <w:kinsoku/>
        <w:wordWrap/>
        <w:overflowPunct/>
        <w:topLinePunct w:val="0"/>
        <w:autoSpaceDE/>
        <w:autoSpaceDN/>
        <w:bidi w:val="0"/>
        <w:adjustRightInd/>
        <w:snapToGrid/>
        <w:spacing w:after="20" w:line="280" w:lineRule="exact"/>
        <w:jc w:val="left"/>
        <w:textAlignment w:val="auto"/>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6</w:t>
      </w:r>
      <w:r>
        <w:rPr>
          <w:rFonts w:hint="eastAsia" w:ascii="宋体" w:hAnsi="宋体" w:eastAsia="宋体"/>
          <w:szCs w:val="21"/>
        </w:rPr>
        <w:t>月</w:t>
      </w:r>
      <w:r>
        <w:rPr>
          <w:rFonts w:hint="eastAsia" w:ascii="宋体" w:hAnsi="宋体" w:eastAsia="宋体"/>
          <w:szCs w:val="21"/>
          <w:lang w:val="en-US" w:eastAsia="zh-CN"/>
        </w:rPr>
        <w:t>6</w:t>
      </w:r>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4.发放采购论证文件</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5.采购论证时间及地点</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hint="eastAsia" w:ascii="宋体" w:hAnsi="宋体" w:eastAsia="宋体"/>
          <w:szCs w:val="21"/>
        </w:rPr>
      </w:pPr>
      <w:r>
        <w:rPr>
          <w:rFonts w:hint="eastAsia" w:ascii="宋体" w:hAnsi="宋体" w:eastAsia="宋体"/>
          <w:szCs w:val="21"/>
        </w:rPr>
        <w:t>5.1本次采购论证采用线上会议的形式。</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bookmarkStart w:id="0" w:name="_GoBack"/>
      <w:bookmarkEnd w:id="0"/>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6.北京大学第一医院医学装备处地址及联系方式</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keepNext w:val="0"/>
        <w:keepLines w:val="0"/>
        <w:pageBreakBefore w:val="0"/>
        <w:widowControl w:val="0"/>
        <w:kinsoku/>
        <w:wordWrap/>
        <w:overflowPunct/>
        <w:topLinePunct w:val="0"/>
        <w:autoSpaceDE/>
        <w:autoSpaceDN/>
        <w:bidi w:val="0"/>
        <w:adjustRightInd/>
        <w:snapToGrid/>
        <w:spacing w:after="20" w:line="280" w:lineRule="exact"/>
        <w:ind w:firstLine="2310" w:firstLineChars="1100"/>
        <w:textAlignment w:val="auto"/>
        <w:rPr>
          <w:rFonts w:ascii="宋体" w:hAnsi="宋体" w:eastAsia="宋体"/>
          <w:szCs w:val="21"/>
        </w:rPr>
      </w:pPr>
      <w:r>
        <w:rPr>
          <w:rFonts w:hint="eastAsia" w:ascii="宋体" w:hAnsi="宋体" w:eastAsia="宋体"/>
          <w:szCs w:val="21"/>
        </w:rPr>
        <w:t xml:space="preserve">                                 谭艳芬 83572637</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6.3电子邮箱：HCGL5258@163.com</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ascii="宋体" w:hAnsi="宋体" w:eastAsia="宋体"/>
          <w:szCs w:val="21"/>
        </w:rPr>
      </w:pPr>
      <w:r>
        <w:rPr>
          <w:rFonts w:hint="eastAsia" w:ascii="宋体" w:hAnsi="宋体" w:eastAsia="宋体"/>
          <w:szCs w:val="21"/>
        </w:rPr>
        <w:t xml:space="preserve">                                                             北京大学第一医院医学装备处</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2年5</w:t>
      </w:r>
      <w:r>
        <w:rPr>
          <w:rFonts w:hint="eastAsia" w:ascii="宋体" w:hAnsi="宋体" w:eastAsia="宋体"/>
          <w:szCs w:val="21"/>
        </w:rPr>
        <w:t>月</w:t>
      </w:r>
      <w:r>
        <w:rPr>
          <w:rFonts w:hint="eastAsia" w:ascii="宋体" w:hAnsi="宋体" w:eastAsia="宋体"/>
          <w:szCs w:val="21"/>
          <w:lang w:val="en-US" w:eastAsia="zh-CN"/>
        </w:rPr>
        <w:t>27</w:t>
      </w:r>
      <w:r>
        <w:rPr>
          <w:rFonts w:hint="eastAsia" w:ascii="宋体" w:hAnsi="宋体" w:eastAsia="宋体"/>
          <w:szCs w:val="21"/>
        </w:rPr>
        <w:t>日</w:t>
      </w:r>
    </w:p>
    <w:p>
      <w:pPr>
        <w:keepNext w:val="0"/>
        <w:keepLines w:val="0"/>
        <w:pageBreakBefore w:val="0"/>
        <w:widowControl w:val="0"/>
        <w:kinsoku/>
        <w:wordWrap/>
        <w:overflowPunct/>
        <w:topLinePunct w:val="0"/>
        <w:autoSpaceDE/>
        <w:autoSpaceDN/>
        <w:bidi w:val="0"/>
        <w:adjustRightInd/>
        <w:snapToGrid/>
        <w:spacing w:after="20" w:line="280" w:lineRule="exact"/>
        <w:textAlignment w:val="auto"/>
        <w:rPr>
          <w:rFonts w:hint="eastAsia" w:ascii="宋体" w:hAnsi="宋体" w:eastAsia="宋体"/>
          <w:szCs w:val="21"/>
          <w:lang w:val="en-US"/>
        </w:rPr>
      </w:pPr>
    </w:p>
    <w:sectPr>
      <w:pgSz w:w="11520" w:h="15840"/>
      <w:pgMar w:top="777" w:right="720" w:bottom="4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2611EBE"/>
    <w:rsid w:val="02C77029"/>
    <w:rsid w:val="03197E49"/>
    <w:rsid w:val="06B15625"/>
    <w:rsid w:val="083F4098"/>
    <w:rsid w:val="0B506CF2"/>
    <w:rsid w:val="0C617ED3"/>
    <w:rsid w:val="0E337630"/>
    <w:rsid w:val="0FA736C5"/>
    <w:rsid w:val="149E49EA"/>
    <w:rsid w:val="180723DD"/>
    <w:rsid w:val="18E62B44"/>
    <w:rsid w:val="1D5145CA"/>
    <w:rsid w:val="20287728"/>
    <w:rsid w:val="22437651"/>
    <w:rsid w:val="225C1658"/>
    <w:rsid w:val="25D25F42"/>
    <w:rsid w:val="26C43BB8"/>
    <w:rsid w:val="2A0722D1"/>
    <w:rsid w:val="2E3B1F9E"/>
    <w:rsid w:val="2F2922E7"/>
    <w:rsid w:val="2FF63446"/>
    <w:rsid w:val="310349D3"/>
    <w:rsid w:val="312328C1"/>
    <w:rsid w:val="31651E0A"/>
    <w:rsid w:val="31794195"/>
    <w:rsid w:val="332A387A"/>
    <w:rsid w:val="346C0A53"/>
    <w:rsid w:val="36CE403F"/>
    <w:rsid w:val="377C732A"/>
    <w:rsid w:val="378B01A1"/>
    <w:rsid w:val="38350643"/>
    <w:rsid w:val="38DF31EB"/>
    <w:rsid w:val="3D873EB5"/>
    <w:rsid w:val="3EA84093"/>
    <w:rsid w:val="3FA10E52"/>
    <w:rsid w:val="40593C9F"/>
    <w:rsid w:val="40AD46D8"/>
    <w:rsid w:val="410840D3"/>
    <w:rsid w:val="416D4904"/>
    <w:rsid w:val="421B40A3"/>
    <w:rsid w:val="44AF67AE"/>
    <w:rsid w:val="44EF2309"/>
    <w:rsid w:val="45331138"/>
    <w:rsid w:val="47897939"/>
    <w:rsid w:val="47C00C07"/>
    <w:rsid w:val="49A054BF"/>
    <w:rsid w:val="4D254A48"/>
    <w:rsid w:val="4D4621DC"/>
    <w:rsid w:val="4F8E6D2E"/>
    <w:rsid w:val="50F62C0A"/>
    <w:rsid w:val="51F65C6F"/>
    <w:rsid w:val="52097231"/>
    <w:rsid w:val="54766584"/>
    <w:rsid w:val="54A91B02"/>
    <w:rsid w:val="564F2F5E"/>
    <w:rsid w:val="59453EB7"/>
    <w:rsid w:val="59B26BDA"/>
    <w:rsid w:val="5B0D6246"/>
    <w:rsid w:val="5B8F09F9"/>
    <w:rsid w:val="6034576E"/>
    <w:rsid w:val="607C6264"/>
    <w:rsid w:val="65C725EA"/>
    <w:rsid w:val="674A67DF"/>
    <w:rsid w:val="6750596A"/>
    <w:rsid w:val="688E6253"/>
    <w:rsid w:val="6DC50965"/>
    <w:rsid w:val="72A91547"/>
    <w:rsid w:val="738F3B25"/>
    <w:rsid w:val="73FF3395"/>
    <w:rsid w:val="746C471C"/>
    <w:rsid w:val="756F38DD"/>
    <w:rsid w:val="77BF57C7"/>
    <w:rsid w:val="7A956475"/>
    <w:rsid w:val="7B487E9A"/>
    <w:rsid w:val="7CF71B94"/>
    <w:rsid w:val="7E0015BA"/>
    <w:rsid w:val="7F4016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unhideWhenUsed/>
    <w:qFormat/>
    <w:uiPriority w:val="99"/>
    <w:rPr>
      <w:sz w:val="21"/>
      <w:szCs w:val="21"/>
    </w:rPr>
  </w:style>
  <w:style w:type="character" w:customStyle="1" w:styleId="11">
    <w:name w:val="页眉 Char"/>
    <w:basedOn w:val="9"/>
    <w:link w:val="5"/>
    <w:qFormat/>
    <w:uiPriority w:val="99"/>
    <w:rPr>
      <w:kern w:val="2"/>
      <w:sz w:val="18"/>
      <w:szCs w:val="18"/>
    </w:rPr>
  </w:style>
  <w:style w:type="character" w:customStyle="1" w:styleId="12">
    <w:name w:val="页脚 Char"/>
    <w:basedOn w:val="9"/>
    <w:link w:val="4"/>
    <w:qFormat/>
    <w:uiPriority w:val="99"/>
    <w:rPr>
      <w:kern w:val="2"/>
      <w:sz w:val="18"/>
      <w:szCs w:val="18"/>
    </w:rPr>
  </w:style>
  <w:style w:type="character" w:customStyle="1" w:styleId="13">
    <w:name w:val="批注文字 Char"/>
    <w:basedOn w:val="9"/>
    <w:link w:val="2"/>
    <w:semiHidden/>
    <w:qFormat/>
    <w:uiPriority w:val="99"/>
    <w:rPr>
      <w:kern w:val="2"/>
      <w:sz w:val="21"/>
      <w:szCs w:val="22"/>
    </w:rPr>
  </w:style>
  <w:style w:type="character" w:customStyle="1" w:styleId="14">
    <w:name w:val="批注主题 Char"/>
    <w:basedOn w:val="13"/>
    <w:link w:val="6"/>
    <w:semiHidden/>
    <w:qFormat/>
    <w:uiPriority w:val="99"/>
    <w:rPr>
      <w:b/>
      <w:bCs/>
      <w:kern w:val="2"/>
      <w:sz w:val="21"/>
      <w:szCs w:val="22"/>
    </w:rPr>
  </w:style>
  <w:style w:type="character" w:customStyle="1" w:styleId="15">
    <w:name w:val="批注框文本 Char"/>
    <w:basedOn w:val="9"/>
    <w:link w:val="3"/>
    <w:semiHidden/>
    <w:qFormat/>
    <w:uiPriority w:val="99"/>
    <w:rPr>
      <w:kern w:val="2"/>
      <w:sz w:val="18"/>
      <w:szCs w:val="18"/>
    </w:rPr>
  </w:style>
  <w:style w:type="paragraph" w:customStyle="1" w:styleId="16">
    <w:name w:val="List Paragraph"/>
    <w:basedOn w:val="1"/>
    <w:qFormat/>
    <w:uiPriority w:val="34"/>
    <w:pPr>
      <w:ind w:firstLine="420" w:firstLineChars="200"/>
    </w:pPr>
  </w:style>
  <w:style w:type="paragraph" w:customStyle="1" w:styleId="1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867</Words>
  <Characters>1017</Characters>
  <Lines>15</Lines>
  <Paragraphs>4</Paragraphs>
  <TotalTime>27</TotalTime>
  <ScaleCrop>false</ScaleCrop>
  <LinksUpToDate>false</LinksUpToDate>
  <CharactersWithSpaces>1191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2022-03-31T08:34:00Z</cp:lastPrinted>
  <dcterms:modified xsi:type="dcterms:W3CDTF">2022-05-27T00:54:09Z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262DA2847C7946A5BAE3D5259CE6490E</vt:lpwstr>
  </property>
</Properties>
</file>