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180"/>
        <w:jc w:val="center"/>
        <w:rPr>
          <w:rFonts w:ascii="宋体" w:eastAsia="宋体" w:hAnsi="宋体"/>
          <w:b/>
          <w:color w:val="000000"/>
          <w:sz w:val="18"/>
        </w:rPr>
      </w:pPr>
      <w:r>
        <w:rPr>
          <w:rFonts w:ascii="宋体" w:eastAsia="宋体" w:hAnsi="宋体"/>
          <w:b/>
          <w:color w:val="000000"/>
          <w:sz w:val="18"/>
        </w:rPr>
        <w:t>北京大学第一医院妇产科超低温冰箱采购院内论证公告</w:t>
      </w:r>
    </w:p>
    <w:p>
      <w:pPr>
        <w:pStyle w:val="style0"/>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pPr>
        <w:pStyle w:val="style0"/>
        <w:spacing w:after="20"/>
        <w:jc w:val="left"/>
        <w:rPr>
          <w:rFonts w:ascii="宋体" w:eastAsia="宋体" w:hAnsi="宋体"/>
          <w:color w:val="000000"/>
          <w:sz w:val="18"/>
        </w:rPr>
      </w:pPr>
      <w:r>
        <w:rPr>
          <w:rFonts w:ascii="宋体" w:eastAsia="宋体" w:hAnsi="宋体"/>
          <w:color w:val="000000"/>
          <w:sz w:val="18"/>
        </w:rPr>
        <w:t>1.论证简介</w:t>
      </w:r>
    </w:p>
    <w:p>
      <w:pPr>
        <w:pStyle w:val="style0"/>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t/>
      </w:r>
      <w:r>
        <w:rPr>
          <w:rFonts w:ascii="宋体" w:eastAsia="宋体" w:hAnsi="宋体"/>
          <w:color w:val="000000"/>
          <w:sz w:val="18"/>
        </w:rPr>
        <w:t/>
      </w:r>
      <w:r>
        <w:rPr>
          <w:rFonts w:ascii="宋体" w:eastAsia="宋体" w:hAnsi="宋体"/>
          <w:color w:val="000000"/>
          <w:sz w:val="18"/>
        </w:rPr>
        <w:t/>
      </w:r>
      <w:r>
        <w:rPr>
          <w:rFonts w:ascii="宋体" w:eastAsia="宋体" w:hAnsi="宋体"/>
          <w:color w:val="000000"/>
          <w:sz w:val="18"/>
        </w:rPr>
        <w:t/>
      </w:r>
      <w:r>
        <w:rPr>
          <w:rFonts w:ascii="宋体" w:eastAsia="宋体" w:hAnsi="宋体"/>
          <w:color w:val="000000"/>
          <w:sz w:val="18"/>
        </w:rPr>
        <w:t/>
      </w:r>
      <w:r>
        <w:rPr>
          <w:rFonts w:ascii="宋体" w:eastAsia="宋体" w:hAnsi="宋体"/>
          <w:color w:val="000000"/>
          <w:sz w:val="18"/>
        </w:rPr>
        <w:t/>
      </w:r>
      <w:r>
        <w:rPr>
          <w:rFonts w:ascii="宋体" w:eastAsia="宋体" w:hAnsi="宋体"/>
          <w:color w:val="000000"/>
          <w:sz w:val="18"/>
        </w:rPr>
        <w:t/>
      </w:r>
      <w:r>
        <w:rPr>
          <w:rFonts w:ascii="宋体" w:eastAsia="宋体" w:hAnsi="宋体"/>
          <w:color w:val="000000"/>
          <w:sz w:val="18"/>
        </w:rPr>
        <w:t/>
      </w:r>
      <w:r>
        <w:rPr>
          <w:rFonts w:ascii="宋体" w:eastAsia="宋体" w:hAnsi="宋体"/>
          <w:color w:val="000000"/>
          <w:sz w:val="18"/>
        </w:rPr>
        <w:t>院妇产科超低温冰箱采购</w:t>
      </w:r>
    </w:p>
    <w:p>
      <w:pPr>
        <w:pStyle w:val="style0"/>
        <w:spacing w:after="20"/>
        <w:jc w:val="left"/>
        <w:rPr>
          <w:rFonts w:ascii="宋体" w:eastAsia="宋体" w:hAnsi="宋体"/>
          <w:color w:val="000000"/>
          <w:sz w:val="18"/>
        </w:rPr>
      </w:pPr>
      <w:r>
        <w:rPr>
          <w:rFonts w:ascii="宋体" w:eastAsia="宋体" w:hAnsi="宋体"/>
          <w:color w:val="000000"/>
          <w:sz w:val="18"/>
        </w:rPr>
        <w:t>1.2采购论证编号：2021-科研-lz-059</w:t>
      </w:r>
    </w:p>
    <w:p>
      <w:pPr>
        <w:pStyle w:val="style0"/>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t/>
      </w:r>
      <w:r>
        <w:rPr>
          <w:rFonts w:ascii="宋体" w:eastAsia="宋体" w:hAnsi="宋体"/>
          <w:color w:val="000000"/>
          <w:sz w:val="18"/>
        </w:rPr>
        <w:t/>
      </w:r>
      <w:r>
        <w:rPr>
          <w:rFonts w:ascii="宋体" w:eastAsia="宋体" w:hAnsi="宋体"/>
          <w:color w:val="000000"/>
          <w:sz w:val="18"/>
        </w:rPr>
        <w:t/>
      </w:r>
      <w:r>
        <w:rPr>
          <w:rFonts w:ascii="宋体" w:eastAsia="宋体" w:hAnsi="宋体"/>
          <w:color w:val="000000"/>
          <w:sz w:val="18"/>
        </w:rPr>
        <w:t/>
      </w:r>
      <w:r>
        <w:rPr>
          <w:rFonts w:ascii="宋体" w:eastAsia="宋体" w:hAnsi="宋体"/>
          <w:color w:val="000000"/>
          <w:sz w:val="18"/>
        </w:rPr>
        <w:t/>
      </w:r>
      <w:r>
        <w:rPr>
          <w:rFonts w:ascii="宋体" w:eastAsia="宋体" w:hAnsi="宋体"/>
          <w:color w:val="000000"/>
          <w:sz w:val="18"/>
        </w:rPr>
        <w:t/>
      </w:r>
      <w:r>
        <w:rPr>
          <w:rFonts w:ascii="宋体" w:eastAsia="宋体" w:hAnsi="宋体"/>
          <w:color w:val="000000"/>
          <w:sz w:val="18"/>
        </w:rPr>
        <w:t/>
      </w:r>
      <w:r>
        <w:rPr>
          <w:rFonts w:ascii="宋体" w:eastAsia="宋体" w:hAnsi="宋体"/>
          <w:color w:val="000000"/>
          <w:sz w:val="18"/>
        </w:rPr>
        <w:t/>
      </w:r>
      <w:r>
        <w:rPr>
          <w:rFonts w:ascii="宋体" w:eastAsia="宋体" w:hAnsi="宋体"/>
          <w:color w:val="000000"/>
          <w:sz w:val="18"/>
        </w:rPr>
        <w:t>院妇产科</w:t>
      </w:r>
    </w:p>
    <w:p>
      <w:pPr>
        <w:pStyle w:val="style0"/>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pPr>
        <w:pStyle w:val="style0"/>
        <w:spacing w:after="20"/>
        <w:jc w:val="left"/>
        <w:rPr>
          <w:rFonts w:ascii="宋体" w:eastAsia="宋体" w:hAnsi="宋体"/>
          <w:color w:val="000000"/>
          <w:sz w:val="18"/>
        </w:rPr>
      </w:pPr>
      <w:r>
        <w:rPr>
          <w:rFonts w:ascii="宋体" w:eastAsia="宋体" w:hAnsi="宋体"/>
          <w:color w:val="000000"/>
          <w:sz w:val="18"/>
        </w:rPr>
        <w:t xml:space="preserve">    电话/传真：010-66552086</w:t>
      </w:r>
    </w:p>
    <w:p>
      <w:pPr>
        <w:pStyle w:val="style0"/>
        <w:spacing w:after="20"/>
        <w:jc w:val="left"/>
        <w:rPr>
          <w:rFonts w:ascii="宋体" w:eastAsia="宋体" w:hAnsi="宋体"/>
          <w:color w:val="000000"/>
          <w:sz w:val="18"/>
        </w:rPr>
      </w:pPr>
      <w:r>
        <w:rPr>
          <w:rFonts w:ascii="宋体" w:eastAsia="宋体" w:hAnsi="宋体"/>
          <w:color w:val="000000"/>
          <w:sz w:val="18"/>
        </w:rPr>
        <w:t>1.4采购论证性质：院内论证</w:t>
      </w:r>
    </w:p>
    <w:p>
      <w:pPr>
        <w:pStyle w:val="style0"/>
        <w:spacing w:after="20"/>
        <w:jc w:val="left"/>
        <w:rPr>
          <w:rFonts w:ascii="宋体" w:eastAsia="宋体" w:hAnsi="宋体"/>
          <w:color w:val="000000"/>
          <w:sz w:val="18"/>
        </w:rPr>
      </w:pPr>
      <w:r>
        <w:rPr>
          <w:rFonts w:ascii="宋体" w:eastAsia="宋体" w:hAnsi="宋体"/>
          <w:color w:val="000000"/>
          <w:sz w:val="18"/>
        </w:rPr>
        <w:t>1.5资金来源：科研经费</w:t>
      </w:r>
    </w:p>
    <w:p>
      <w:pPr>
        <w:pStyle w:val="style0"/>
        <w:spacing w:after="20"/>
        <w:jc w:val="left"/>
        <w:rPr>
          <w:rFonts w:ascii="宋体" w:eastAsia="宋体" w:hAnsi="宋体"/>
          <w:color w:val="000000"/>
          <w:sz w:val="18"/>
        </w:rPr>
      </w:pPr>
      <w:r>
        <w:rPr>
          <w:rFonts w:ascii="宋体" w:eastAsia="宋体" w:hAnsi="宋体"/>
          <w:color w:val="000000"/>
          <w:sz w:val="18"/>
        </w:rPr>
        <w:t>1.6评分办法：综合因素评定法</w:t>
      </w:r>
    </w:p>
    <w:p>
      <w:pPr>
        <w:pStyle w:val="style0"/>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trPr>
          <w:trHeight w:val="270" w:hRule="atLeast"/>
        </w:trPr>
        <w:tc>
          <w:tcPr>
            <w:tcW w:w="1667" w:type="pct"/>
            <w:tcBorders/>
            <w:shd w:val="clear" w:color="auto" w:fill="auto"/>
            <w:noWrap/>
            <w:vAlign w:val="center"/>
            <w:hideMark/>
          </w:tcPr>
          <w:p>
            <w:pPr>
              <w:pStyle w:val="style0"/>
              <w:widowControl/>
              <w:jc w:val="center"/>
              <w:rPr>
                <w:color w:val="000000"/>
                <w:sz w:val="18"/>
                <w:szCs w:val="18"/>
              </w:rPr>
            </w:pPr>
            <w:r>
              <w:rPr>
                <w:rFonts w:hint="eastAsia"/>
                <w:color w:val="000000"/>
                <w:sz w:val="18"/>
                <w:szCs w:val="18"/>
              </w:rPr>
              <w:t>设备名称</w:t>
            </w:r>
            <w:r>
              <w:rPr>
                <w:rFonts w:hint="eastAsia"/>
                <w:color w:val="000000"/>
                <w:sz w:val="18"/>
                <w:szCs w:val="18"/>
              </w:rPr>
              <w:br/>
            </w:r>
            <w:r>
              <w:rPr>
                <w:rFonts w:hint="eastAsia"/>
                <w:color w:val="000000"/>
                <w:sz w:val="18"/>
                <w:szCs w:val="18"/>
              </w:rPr>
              <w:t>（服务内容）</w:t>
            </w:r>
          </w:p>
        </w:tc>
        <w:tc>
          <w:tcPr>
            <w:tcW w:w="1667" w:type="pct"/>
            <w:tcBorders/>
            <w:shd w:val="clear" w:color="auto" w:fill="auto"/>
            <w:noWrap/>
            <w:vAlign w:val="center"/>
            <w:hideMark/>
          </w:tcPr>
          <w:p>
            <w:pPr>
              <w:pStyle w:val="style0"/>
              <w:jc w:val="center"/>
              <w:rPr>
                <w:color w:val="000000"/>
                <w:sz w:val="18"/>
                <w:szCs w:val="18"/>
              </w:rPr>
            </w:pPr>
            <w:r>
              <w:rPr>
                <w:rFonts w:hint="eastAsia"/>
                <w:color w:val="000000"/>
                <w:sz w:val="18"/>
                <w:szCs w:val="18"/>
              </w:rPr>
              <w:t>数量</w:t>
            </w:r>
            <w:r>
              <w:rPr>
                <w:rFonts w:hint="eastAsia"/>
                <w:color w:val="000000"/>
                <w:sz w:val="18"/>
                <w:szCs w:val="18"/>
              </w:rPr>
              <w:br/>
            </w:r>
            <w:r>
              <w:rPr>
                <w:rFonts w:hint="eastAsia"/>
                <w:color w:val="000000"/>
                <w:sz w:val="18"/>
                <w:szCs w:val="18"/>
              </w:rPr>
              <w:t>（详见技术要求）</w:t>
            </w:r>
          </w:p>
        </w:tc>
        <w:tc>
          <w:tcPr>
            <w:tcW w:w="1667" w:type="pct"/>
            <w:tcBorders/>
            <w:shd w:val="clear" w:color="auto" w:fill="auto"/>
            <w:noWrap/>
            <w:vAlign w:val="center"/>
            <w:hideMark/>
          </w:tcPr>
          <w:p>
            <w:pPr>
              <w:pStyle w:val="style0"/>
              <w:jc w:val="center"/>
              <w:rPr>
                <w:color w:val="000000"/>
                <w:sz w:val="18"/>
                <w:szCs w:val="18"/>
              </w:rPr>
            </w:pPr>
            <w:r>
              <w:rPr>
                <w:rFonts w:hint="eastAsia"/>
                <w:color w:val="000000"/>
                <w:sz w:val="18"/>
                <w:szCs w:val="18"/>
              </w:rPr>
              <w:t>备注</w:t>
            </w:r>
          </w:p>
        </w:tc>
      </w:tr>
      <w:tr>
        <w:tblPrEx/>
        <w:trPr>
          <w:trHeight w:val="270" w:hRule="atLeast"/>
        </w:trPr>
        <w:tc>
          <w:tcPr>
            <w:tcW w:w="1667" w:type="pct"/>
            <w:tcBorders/>
            <w:shd w:val="clear" w:color="auto" w:fill="auto"/>
            <w:noWrap/>
            <w:vAlign w:val="center"/>
            <w:hideMark/>
          </w:tcPr>
          <w:p>
            <w:pPr>
              <w:pStyle w:val="style0"/>
              <w:jc w:val="center"/>
              <w:rPr>
                <w:color w:val="000000"/>
                <w:sz w:val="18"/>
                <w:szCs w:val="18"/>
              </w:rPr>
            </w:pPr>
            <w:r>
              <w:rPr>
                <w:rFonts w:hint="eastAsia"/>
                <w:color w:val="000000"/>
                <w:sz w:val="18"/>
                <w:szCs w:val="18"/>
              </w:rPr>
              <w:t>超低温冰箱</w:t>
            </w:r>
          </w:p>
        </w:tc>
        <w:tc>
          <w:tcPr>
            <w:tcW w:w="1667" w:type="pct"/>
            <w:tcBorders/>
            <w:shd w:val="clear" w:color="auto" w:fill="auto"/>
            <w:noWrap/>
            <w:vAlign w:val="center"/>
            <w:hideMark/>
          </w:tcPr>
          <w:p>
            <w:pPr>
              <w:pStyle w:val="style0"/>
              <w:jc w:val="center"/>
              <w:rPr>
                <w:color w:val="000000"/>
                <w:sz w:val="18"/>
                <w:szCs w:val="18"/>
              </w:rPr>
            </w:pPr>
            <w:r>
              <w:rPr>
                <w:rFonts w:hint="eastAsia"/>
                <w:color w:val="000000"/>
                <w:sz w:val="18"/>
                <w:szCs w:val="18"/>
              </w:rPr>
              <w:t>2</w:t>
            </w:r>
            <w:r>
              <w:rPr>
                <w:rFonts w:hint="eastAsia"/>
                <w:color w:val="000000"/>
                <w:sz w:val="18"/>
                <w:szCs w:val="18"/>
              </w:rPr>
              <w:t>台</w:t>
            </w:r>
          </w:p>
        </w:tc>
        <w:tc>
          <w:tcPr>
            <w:tcW w:w="1667" w:type="pct"/>
            <w:tcBorders/>
            <w:shd w:val="clear" w:color="auto" w:fill="auto"/>
            <w:noWrap/>
            <w:vAlign w:val="center"/>
            <w:hideMark/>
          </w:tcPr>
          <w:p>
            <w:pPr>
              <w:pStyle w:val="style0"/>
              <w:jc w:val="center"/>
              <w:rPr>
                <w:color w:val="000000"/>
                <w:sz w:val="18"/>
                <w:szCs w:val="18"/>
              </w:rPr>
            </w:pPr>
            <w:r>
              <w:rPr>
                <w:rFonts w:hint="eastAsia"/>
                <w:color w:val="000000"/>
                <w:sz w:val="18"/>
                <w:szCs w:val="18"/>
              </w:rPr>
              <w:t>—</w:t>
            </w:r>
          </w:p>
        </w:tc>
      </w:tr>
    </w:tbl>
    <w:p>
      <w:pPr>
        <w:pStyle w:val="style0"/>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trPr>
          <w:trHeight w:val="270" w:hRule="atLeast"/>
        </w:trPr>
        <w:tc>
          <w:tcPr>
            <w:tcW w:w="5000" w:type="pct"/>
            <w:tcBorders/>
            <w:shd w:val="clear" w:color="auto" w:fill="auto"/>
            <w:noWrap/>
            <w:vAlign w:val="center"/>
            <w:hideMark/>
          </w:tcPr>
          <w:p>
            <w:pPr>
              <w:pStyle w:val="style0"/>
              <w:widowControl/>
              <w:jc w:val="left"/>
              <w:rPr>
                <w:color w:val="000000"/>
                <w:sz w:val="18"/>
                <w:szCs w:val="18"/>
              </w:rPr>
            </w:pPr>
            <w:r>
              <w:rPr>
                <w:rFonts w:hint="eastAsia"/>
                <w:color w:val="000000"/>
                <w:sz w:val="18"/>
                <w:szCs w:val="18"/>
              </w:rPr>
              <w:t>1、最低温度≤-86℃</w:t>
            </w:r>
          </w:p>
        </w:tc>
      </w:tr>
      <w:tr>
        <w:tblPrEx/>
        <w:trPr>
          <w:trHeight w:val="270" w:hRule="atLeast"/>
        </w:trPr>
        <w:tc>
          <w:tcPr>
            <w:tcW w:w="5000" w:type="pct"/>
            <w:tcBorders/>
            <w:shd w:val="clear" w:color="auto" w:fill="auto"/>
            <w:noWrap/>
            <w:vAlign w:val="center"/>
            <w:hideMark/>
          </w:tcPr>
          <w:p>
            <w:pPr>
              <w:pStyle w:val="style0"/>
              <w:rPr>
                <w:color w:val="000000"/>
                <w:sz w:val="18"/>
                <w:szCs w:val="18"/>
              </w:rPr>
            </w:pPr>
            <w:r>
              <w:rPr>
                <w:rFonts w:hint="eastAsia"/>
                <w:color w:val="000000"/>
                <w:sz w:val="18"/>
                <w:szCs w:val="18"/>
              </w:rPr>
              <w:t>2、有效容积≥800L</w:t>
            </w:r>
          </w:p>
        </w:tc>
      </w:tr>
      <w:tr>
        <w:tblPrEx/>
        <w:trPr>
          <w:trHeight w:val="270" w:hRule="atLeast"/>
        </w:trPr>
        <w:tc>
          <w:tcPr>
            <w:tcW w:w="5000" w:type="pct"/>
            <w:tcBorders/>
            <w:shd w:val="clear" w:color="auto" w:fill="auto"/>
            <w:noWrap/>
            <w:vAlign w:val="center"/>
            <w:hideMark/>
          </w:tcPr>
          <w:p>
            <w:pPr>
              <w:pStyle w:val="style0"/>
              <w:rPr>
                <w:color w:val="000000"/>
                <w:sz w:val="18"/>
                <w:szCs w:val="18"/>
              </w:rPr>
            </w:pPr>
            <w:r>
              <w:rPr>
                <w:rFonts w:hint="eastAsia"/>
                <w:color w:val="000000"/>
                <w:sz w:val="18"/>
                <w:szCs w:val="18"/>
              </w:rPr>
              <w:t>3、具有多重故障报警功能</w:t>
            </w:r>
          </w:p>
        </w:tc>
      </w:tr>
    </w:tbl>
    <w:p>
      <w:pPr>
        <w:pStyle w:val="style0"/>
        <w:spacing w:after="20"/>
        <w:jc w:val="left"/>
        <w:rPr>
          <w:rFonts w:ascii="宋体" w:eastAsia="宋体" w:hAnsi="宋体"/>
          <w:color w:val="000000"/>
          <w:sz w:val="18"/>
        </w:rPr>
      </w:pPr>
      <w:r>
        <w:rPr>
          <w:rFonts w:ascii="宋体" w:eastAsia="宋体" w:hAnsi="宋体"/>
          <w:color w:val="000000"/>
          <w:sz w:val="18"/>
        </w:rPr>
        <w:t>2.对供应商基本要求：</w:t>
      </w:r>
    </w:p>
    <w:p>
      <w:pPr>
        <w:pStyle w:val="style0"/>
        <w:spacing w:after="20"/>
        <w:jc w:val="left"/>
        <w:rPr>
          <w:rFonts w:ascii="宋体" w:eastAsia="宋体" w:hAnsi="宋体"/>
          <w:color w:val="000000"/>
          <w:sz w:val="18"/>
        </w:rPr>
      </w:pPr>
      <w:r>
        <w:rPr>
          <w:rFonts w:ascii="宋体" w:eastAsia="宋体" w:hAnsi="宋体"/>
          <w:color w:val="000000"/>
          <w:sz w:val="18"/>
        </w:rPr>
        <w:t>2.1 中国境内注册的独立法人。</w:t>
      </w:r>
      <w:bookmarkStart w:id="0" w:name="_GoBack"/>
      <w:bookmarkEnd w:id="0"/>
    </w:p>
    <w:p>
      <w:pPr>
        <w:pStyle w:val="style0"/>
        <w:spacing w:after="20"/>
        <w:jc w:val="left"/>
        <w:rPr>
          <w:rFonts w:ascii="宋体" w:eastAsia="宋体" w:hAnsi="宋体"/>
          <w:color w:val="000000"/>
          <w:sz w:val="18"/>
        </w:rPr>
      </w:pPr>
      <w:r>
        <w:rPr>
          <w:rFonts w:ascii="宋体" w:eastAsia="宋体" w:hAnsi="宋体"/>
          <w:color w:val="000000"/>
          <w:sz w:val="18"/>
        </w:rPr>
        <w:t>2.2 不接受联合体投标。</w:t>
      </w:r>
    </w:p>
    <w:p>
      <w:pPr>
        <w:pStyle w:val="style0"/>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pPr>
        <w:pStyle w:val="style0"/>
        <w:spacing w:after="20"/>
        <w:jc w:val="left"/>
        <w:rPr>
          <w:rFonts w:ascii="宋体" w:eastAsia="宋体" w:hAnsi="宋体"/>
          <w:color w:val="000000"/>
          <w:sz w:val="18"/>
        </w:rPr>
      </w:pPr>
      <w:r>
        <w:rPr>
          <w:rFonts w:ascii="宋体" w:eastAsia="宋体" w:hAnsi="宋体"/>
          <w:color w:val="000000"/>
          <w:sz w:val="18"/>
        </w:rPr>
        <w:t>3.供应商报名</w:t>
      </w:r>
    </w:p>
    <w:p>
      <w:pPr>
        <w:pStyle w:val="style0"/>
        <w:spacing w:after="20"/>
        <w:jc w:val="left"/>
        <w:rPr>
          <w:rFonts w:ascii="宋体" w:eastAsia="宋体" w:hAnsi="宋体"/>
          <w:color w:val="000000"/>
          <w:sz w:val="18"/>
        </w:rPr>
      </w:pPr>
      <w:r>
        <w:rPr>
          <w:rFonts w:ascii="宋体" w:eastAsia="宋体" w:hAnsi="宋体"/>
          <w:color w:val="000000"/>
          <w:sz w:val="18"/>
        </w:rPr>
        <w:t>3.1供应商需在公示期满后第一个工作日，即2021/7/1</w:t>
      </w:r>
      <w:r>
        <w:rPr>
          <w:rFonts w:ascii="宋体" w:eastAsia="宋体" w:hAnsi="宋体" w:hint="eastAsia"/>
          <w:color w:val="000000"/>
          <w:sz w:val="18"/>
        </w:rPr>
        <w:t>6</w:t>
      </w:r>
      <w:r>
        <w:rPr>
          <w:rFonts w:ascii="宋体" w:eastAsia="宋体" w:hAnsi="宋体"/>
          <w:color w:val="000000"/>
          <w:sz w:val="18"/>
        </w:rPr>
        <w:t>到北京大学第一医院医学装备处报名。</w:t>
      </w:r>
    </w:p>
    <w:p>
      <w:pPr>
        <w:pStyle w:val="style0"/>
        <w:spacing w:after="20"/>
        <w:jc w:val="left"/>
        <w:rPr>
          <w:rFonts w:ascii="宋体" w:eastAsia="宋体" w:hAnsi="宋体"/>
          <w:color w:val="000000"/>
          <w:sz w:val="18"/>
        </w:rPr>
      </w:pPr>
      <w:r>
        <w:rPr>
          <w:rFonts w:ascii="宋体" w:eastAsia="宋体" w:hAnsi="宋体"/>
          <w:color w:val="000000"/>
          <w:sz w:val="18"/>
        </w:rPr>
        <w:t>3.2报名时间：北京时间上午10点</w:t>
      </w:r>
    </w:p>
    <w:p>
      <w:pPr>
        <w:pStyle w:val="style0"/>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pPr>
        <w:pStyle w:val="style0"/>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pStyle w:val="style0"/>
        <w:spacing w:after="20"/>
        <w:jc w:val="left"/>
        <w:rPr>
          <w:rFonts w:ascii="宋体" w:eastAsia="宋体" w:hAnsi="宋体"/>
          <w:color w:val="000000"/>
          <w:sz w:val="18"/>
        </w:rPr>
      </w:pPr>
      <w:r>
        <w:rPr>
          <w:rFonts w:ascii="宋体" w:eastAsia="宋体" w:hAnsi="宋体"/>
          <w:color w:val="000000"/>
          <w:sz w:val="18"/>
        </w:rPr>
        <w:t>4.发放采购论证文件</w:t>
      </w:r>
    </w:p>
    <w:p>
      <w:pPr>
        <w:pStyle w:val="style0"/>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pPr>
        <w:pStyle w:val="style0"/>
        <w:spacing w:after="20"/>
        <w:jc w:val="left"/>
        <w:rPr>
          <w:rFonts w:ascii="宋体" w:eastAsia="宋体" w:hAnsi="宋体"/>
          <w:color w:val="000000"/>
          <w:sz w:val="18"/>
        </w:rPr>
      </w:pPr>
      <w:r>
        <w:rPr>
          <w:rFonts w:ascii="宋体" w:eastAsia="宋体" w:hAnsi="宋体"/>
          <w:color w:val="000000"/>
          <w:sz w:val="18"/>
        </w:rPr>
        <w:t>5.采购论证时间及地点</w:t>
      </w:r>
    </w:p>
    <w:p>
      <w:pPr>
        <w:pStyle w:val="style0"/>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pPr>
        <w:pStyle w:val="style0"/>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pPr>
        <w:pStyle w:val="style0"/>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pPr>
        <w:pStyle w:val="style0"/>
        <w:spacing w:after="20"/>
        <w:jc w:val="left"/>
        <w:rPr>
          <w:rFonts w:ascii="宋体" w:eastAsia="宋体" w:hAnsi="宋体"/>
          <w:color w:val="000000"/>
          <w:sz w:val="18"/>
        </w:rPr>
      </w:pPr>
      <w:r>
        <w:rPr>
          <w:rFonts w:ascii="宋体" w:eastAsia="宋体" w:hAnsi="宋体"/>
          <w:color w:val="000000"/>
          <w:sz w:val="18"/>
        </w:rPr>
        <w:t>6.2联系人：李德水、赵予涵</w:t>
      </w:r>
    </w:p>
    <w:p>
      <w:pPr>
        <w:pStyle w:val="style0"/>
        <w:spacing w:after="20"/>
        <w:jc w:val="left"/>
        <w:rPr>
          <w:rFonts w:ascii="宋体" w:eastAsia="宋体" w:hAnsi="宋体"/>
          <w:color w:val="000000"/>
          <w:sz w:val="18"/>
        </w:rPr>
      </w:pPr>
      <w:r>
        <w:rPr>
          <w:rFonts w:ascii="宋体" w:eastAsia="宋体" w:hAnsi="宋体"/>
          <w:color w:val="000000"/>
          <w:sz w:val="18"/>
        </w:rPr>
        <w:t>6.3联系电话：83572275</w:t>
      </w:r>
    </w:p>
    <w:p>
      <w:pPr>
        <w:pStyle w:val="style0"/>
        <w:spacing w:after="20"/>
        <w:jc w:val="left"/>
        <w:rPr>
          <w:rFonts w:ascii="宋体" w:eastAsia="宋体" w:hAnsi="宋体"/>
          <w:color w:val="000000"/>
          <w:sz w:val="18"/>
        </w:rPr>
      </w:pPr>
      <w:r>
        <w:rPr>
          <w:rFonts w:ascii="宋体" w:eastAsia="宋体" w:hAnsi="宋体"/>
          <w:color w:val="000000"/>
          <w:sz w:val="18"/>
        </w:rPr>
        <w:t>6.4电子邮箱：bdyyyxzb@163.com</w:t>
      </w:r>
    </w:p>
    <w:p>
      <w:pPr>
        <w:pStyle w:val="style0"/>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pPr>
        <w:pStyle w:val="style0"/>
        <w:spacing w:after="20"/>
        <w:jc w:val="left"/>
        <w:rPr>
          <w:rFonts w:ascii="宋体" w:eastAsia="宋体" w:hAnsi="宋体"/>
          <w:color w:val="000000"/>
          <w:sz w:val="18"/>
        </w:rPr>
      </w:pPr>
    </w:p>
    <w:p>
      <w:pPr>
        <w:pStyle w:val="style0"/>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pPr>
        <w:pStyle w:val="style0"/>
        <w:spacing w:after="20"/>
        <w:jc w:val="left"/>
        <w:rPr>
          <w:rFonts w:ascii="宋体" w:eastAsia="宋体" w:hAnsi="宋体"/>
          <w:color w:val="000000"/>
          <w:sz w:val="18"/>
        </w:rPr>
      </w:pPr>
      <w:r>
        <w:rPr>
          <w:rFonts w:ascii="宋体" w:eastAsia="宋体" w:hAnsi="宋体"/>
          <w:color w:val="000000"/>
          <w:sz w:val="18"/>
        </w:rPr>
        <w:t xml:space="preserve">                                                                 2021/7/9</w:t>
      </w:r>
    </w:p>
    <w:p>
      <w:pPr>
        <w:pStyle w:val="style0"/>
        <w:spacing w:after="180"/>
        <w:rPr>
          <w:rFonts w:ascii="宋体" w:eastAsia="宋体" w:hAnsi="宋体"/>
          <w:b/>
          <w:color w:val="000000"/>
          <w:sz w:val="18"/>
        </w:rPr>
      </w:pPr>
    </w:p>
    <w:sectPr>
      <w:pgSz w:w="11520" w:h="16560" w:orient="portrait"/>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001010101"/>
    <w:charset w:val="86"/>
    <w:family w:val="auto"/>
    <w:pitch w:val="variable"/>
    <w:sig w:usb0="A00002BF" w:usb1="38CF7CFA" w:usb2="00000016" w:usb3="00000000" w:csb0="0004000F" w:csb1="00000000"/>
  </w:font>
  <w:font w:name="Times New Roman">
    <w:altName w:val="Times New Roman"/>
    <w:panose1 w:val="02020603050004020304"/>
    <w:charset w:val="00"/>
    <w:family w:val="roman"/>
    <w:pitch w:val="variable"/>
    <w:sig w:usb0="E0002AFF" w:usb1="C0007841"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等线 Light">
    <w:altName w:val="等线 Light"/>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等线" w:cs="宋体" w:eastAsia="等线" w:hAnsi="等线"/>
        <w:kern w:val="2"/>
        <w:sz w:val="21"/>
        <w:szCs w:val="22"/>
        <w:lang w:val="en-US" w:bidi="ar-SA" w:eastAsia="zh-CN"/>
      </w:rPr>
    </w:rPrDefault>
    <w:pPrDefault>
      <w:pPr/>
    </w:pPrDefault>
  </w:docDefaults>
  <w:style w:type="paragraph" w:default="1" w:styleId="style0">
    <w:name w:val="Normal"/>
    <w:next w:val="style0"/>
    <w:qFormat/>
    <w:pPr>
      <w:widowControl w:val="false"/>
      <w:jc w:val="both"/>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pBdr>
        <w:bottom w:val="single" w:sz="6" w:space="1" w:color="auto"/>
      </w:pBdr>
      <w:tabs>
        <w:tab w:val="center" w:leader="none" w:pos="4153"/>
        <w:tab w:val="right" w:leader="none" w:pos="8306"/>
      </w:tabs>
      <w:snapToGrid w:val="false"/>
      <w:jc w:val="center"/>
    </w:pPr>
    <w:rPr>
      <w:sz w:val="18"/>
      <w:szCs w:val="18"/>
    </w:rPr>
  </w:style>
  <w:style w:type="character" w:customStyle="1" w:styleId="style4097">
    <w:name w:val="页眉 字符"/>
    <w:basedOn w:val="style65"/>
    <w:next w:val="style4097"/>
    <w:link w:val="style31"/>
    <w:uiPriority w:val="99"/>
    <w:rPr>
      <w:sz w:val="18"/>
      <w:szCs w:val="18"/>
    </w:rPr>
  </w:style>
  <w:style w:type="paragraph" w:styleId="style32">
    <w:name w:val="footer"/>
    <w:basedOn w:val="style0"/>
    <w:next w:val="style32"/>
    <w:link w:val="style4098"/>
    <w:uiPriority w:val="99"/>
    <w:pPr>
      <w:tabs>
        <w:tab w:val="center" w:leader="none" w:pos="4153"/>
        <w:tab w:val="right" w:leader="none" w:pos="8306"/>
      </w:tabs>
      <w:snapToGrid w:val="false"/>
      <w:jc w:val="left"/>
    </w:pPr>
    <w:rPr>
      <w:sz w:val="18"/>
      <w:szCs w:val="18"/>
    </w:rPr>
  </w:style>
  <w:style w:type="character" w:customStyle="1" w:styleId="style4098">
    <w:name w:val="页脚 字符"/>
    <w:basedOn w:val="style65"/>
    <w:next w:val="style4098"/>
    <w:link w:val="style32"/>
    <w:uiPriority w:val="99"/>
    <w:rPr>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Words>725</Words>
  <Pages>1</Pages>
  <Characters>872</Characters>
  <Application>WPS Office</Application>
  <DocSecurity>0</DocSecurity>
  <Paragraphs>50</Paragraphs>
  <ScaleCrop>false</ScaleCrop>
  <LinksUpToDate>false</LinksUpToDate>
  <CharactersWithSpaces>1010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2021-07-09T08:13:00Z</dcterms:created>
  <dc:creator>zhaoyuhan</dc:creator>
  <lastModifiedBy>M2002J9E</lastModifiedBy>
  <dcterms:modified xsi:type="dcterms:W3CDTF">2021-07-09T09:24:48Z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3ac40e5a0b0849249935e9dab1c45522</vt:lpwstr>
  </property>
</Properties>
</file>