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院耳鼻咽喉头颈外科声导抗仪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耳鼻咽喉头颈外科声导抗仪设备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26</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耳鼻咽喉头颈外科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声导抗仪</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2台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测试项目至少包含226Hz鼓室图、同侧声反射阈值测试、对侧声反射阈值测试</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压力可调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中文操作界面</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28</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45</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BBD7D7B"/>
    <w:rsid w:val="1CA7792C"/>
    <w:rsid w:val="226263D3"/>
    <w:rsid w:val="2DDB7157"/>
    <w:rsid w:val="2F5D1151"/>
    <w:rsid w:val="40322DD7"/>
    <w:rsid w:val="41110EEC"/>
    <w:rsid w:val="45266630"/>
    <w:rsid w:val="4C793F79"/>
    <w:rsid w:val="6FF97415"/>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2</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2021-04-20T08:52:06Z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