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院肿瘤化疗科遥测心电监护仪（带血氧）、单心电遥测监护仪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肿瘤化疗科遥测心电监护仪（带血氧）、单心电遥测监护仪设备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21</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遥测心电监护仪（带血氧）</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eastAsia"/>
                <w:sz w:val="18"/>
                <w:szCs w:val="18"/>
              </w:rPr>
            </w:pPr>
            <w:r>
              <w:rPr>
                <w:rFonts w:hint="eastAsia"/>
                <w:sz w:val="18"/>
                <w:szCs w:val="18"/>
              </w:rPr>
              <w:t>单心电遥测监护仪</w:t>
            </w:r>
          </w:p>
        </w:tc>
        <w:tc>
          <w:tcPr>
            <w:tcW w:w="2217" w:type="dxa"/>
            <w:shd w:val="clear" w:color="auto" w:fill="auto"/>
            <w:noWrap/>
            <w:vAlign w:val="center"/>
          </w:tcPr>
          <w:p>
            <w:pPr>
              <w:jc w:val="center"/>
              <w:rPr>
                <w:rFonts w:hint="eastAsia"/>
                <w:sz w:val="18"/>
                <w:szCs w:val="18"/>
                <w:lang w:val="en-US" w:eastAsia="zh-CN"/>
              </w:rPr>
            </w:pPr>
            <w:r>
              <w:rPr>
                <w:rFonts w:hint="eastAsia"/>
                <w:sz w:val="18"/>
                <w:szCs w:val="18"/>
                <w:lang w:val="en-US" w:eastAsia="zh-CN"/>
              </w:rPr>
              <w:t>1台</w:t>
            </w:r>
          </w:p>
        </w:tc>
        <w:tc>
          <w:tcPr>
            <w:tcW w:w="2047" w:type="dxa"/>
            <w:shd w:val="clear" w:color="auto" w:fill="auto"/>
            <w:noWrap/>
            <w:vAlign w:val="center"/>
          </w:tcPr>
          <w:p>
            <w:pPr>
              <w:jc w:val="center"/>
              <w:rPr>
                <w:rFonts w:hint="eastAsia"/>
                <w:color w:val="000000"/>
                <w:sz w:val="18"/>
                <w:szCs w:val="18"/>
                <w:lang w:val="en-US" w:eastAsia="zh-CN"/>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可连接科室</w:t>
            </w:r>
            <w:bookmarkStart w:id="0" w:name="_GoBack"/>
            <w:bookmarkEnd w:id="0"/>
            <w:r>
              <w:rPr>
                <w:rFonts w:hint="eastAsia"/>
                <w:color w:val="000000"/>
                <w:sz w:val="18"/>
                <w:szCs w:val="18"/>
                <w:lang w:val="en-US" w:eastAsia="zh-CN"/>
              </w:rPr>
              <w:t>现有中央站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支持12导联心电采集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color w:val="000000"/>
                <w:sz w:val="18"/>
                <w:szCs w:val="18"/>
                <w:lang w:val="en-US"/>
              </w:rPr>
            </w:pPr>
            <w:r>
              <w:rPr>
                <w:rFonts w:hint="eastAsia"/>
                <w:color w:val="000000"/>
                <w:sz w:val="18"/>
                <w:szCs w:val="18"/>
              </w:rPr>
              <w:t>3、具有</w:t>
            </w:r>
            <w:r>
              <w:rPr>
                <w:rFonts w:hint="eastAsia"/>
                <w:color w:val="000000"/>
                <w:sz w:val="18"/>
                <w:szCs w:val="18"/>
                <w:lang w:val="en-US" w:eastAsia="zh-CN"/>
              </w:rPr>
              <w:t>导联脱落提示</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15</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4D55637"/>
    <w:rsid w:val="1A94414A"/>
    <w:rsid w:val="1BBD7D7B"/>
    <w:rsid w:val="1CA7792C"/>
    <w:rsid w:val="226263D3"/>
    <w:rsid w:val="22A50F60"/>
    <w:rsid w:val="2DDB7157"/>
    <w:rsid w:val="2F5D1151"/>
    <w:rsid w:val="40322DD7"/>
    <w:rsid w:val="41110EEC"/>
    <w:rsid w:val="45266630"/>
    <w:rsid w:val="57CE6C59"/>
    <w:rsid w:val="62AA0B74"/>
    <w:rsid w:val="66C77DBC"/>
    <w:rsid w:val="689304C8"/>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8</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2021-04-22T08:29:06Z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