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院妇产科全自动染色仪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妇产科全自动染色仪设备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24</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妇产科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rPr>
              <w:t>全自动染色仪</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适用标本种类至少包括血液、呼吸道分泌物、肺泡灌洗液、脑脊液、粪便、痰、尿液生殖道分泌物等标本涂片的自动化革兰染色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染色流程自动化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一次可染色不少于12张玻片</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28</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10</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20</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A94414A"/>
    <w:rsid w:val="1BBD7D7B"/>
    <w:rsid w:val="1CA7792C"/>
    <w:rsid w:val="226263D3"/>
    <w:rsid w:val="2DDB7157"/>
    <w:rsid w:val="2F5D1151"/>
    <w:rsid w:val="40322DD7"/>
    <w:rsid w:val="41110EEC"/>
    <w:rsid w:val="45266630"/>
    <w:rsid w:val="57CE6C59"/>
    <w:rsid w:val="603D5051"/>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20</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2021-04-20T09:01:11Z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