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院生化分析仪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生化分析仪</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17</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sz w:val="18"/>
        </w:rPr>
        <w:t>检验科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7"/>
        <w:gridCol w:w="2542"/>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542"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7" w:type="dxa"/>
            <w:shd w:val="clear" w:color="auto" w:fill="auto"/>
            <w:noWrap/>
            <w:vAlign w:val="center"/>
          </w:tcPr>
          <w:p>
            <w:pPr>
              <w:jc w:val="center"/>
              <w:rPr>
                <w:color w:val="000000"/>
                <w:sz w:val="18"/>
                <w:szCs w:val="18"/>
              </w:rPr>
            </w:pPr>
            <w:r>
              <w:rPr>
                <w:rFonts w:hint="eastAsia" w:ascii="宋体" w:hAnsi="宋体" w:eastAsia="宋体"/>
                <w:color w:val="000000"/>
                <w:sz w:val="18"/>
              </w:rPr>
              <w:t>生化分析仪</w:t>
            </w:r>
          </w:p>
        </w:tc>
        <w:tc>
          <w:tcPr>
            <w:tcW w:w="2542"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sz w:val="18"/>
                <w:szCs w:val="18"/>
                <w:lang w:val="en-US" w:eastAsia="zh-CN"/>
              </w:rPr>
            </w:pPr>
            <w:r>
              <w:rPr>
                <w:rFonts w:hint="eastAsia"/>
                <w:sz w:val="18"/>
                <w:szCs w:val="18"/>
              </w:rPr>
              <w:t>1、</w:t>
            </w:r>
            <w:r>
              <w:rPr>
                <w:rFonts w:hint="eastAsia"/>
                <w:sz w:val="18"/>
                <w:szCs w:val="18"/>
                <w:lang w:val="en-US" w:eastAsia="zh-CN"/>
              </w:rPr>
              <w:t>检测项目：生化、免疫、肿瘤标记物、药物检测、毒品检测、电解质检测、同工酶测定、脂类测定等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sz w:val="18"/>
                <w:szCs w:val="18"/>
                <w:lang w:val="en-US" w:eastAsia="zh-CN"/>
              </w:rPr>
            </w:pPr>
            <w:r>
              <w:rPr>
                <w:rFonts w:hint="eastAsia"/>
                <w:sz w:val="18"/>
                <w:szCs w:val="18"/>
              </w:rPr>
              <w:t>2、</w:t>
            </w:r>
            <w:r>
              <w:rPr>
                <w:rFonts w:hint="eastAsia"/>
                <w:sz w:val="18"/>
                <w:szCs w:val="18"/>
                <w:lang w:val="en-US" w:eastAsia="zh-CN"/>
              </w:rPr>
              <w:t>分析方法：终点法，速率法，固定时间法等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sz w:val="18"/>
                <w:szCs w:val="18"/>
                <w:lang w:val="en-US" w:eastAsia="zh-CN"/>
              </w:rPr>
            </w:pPr>
            <w:r>
              <w:rPr>
                <w:rFonts w:hint="eastAsia"/>
                <w:sz w:val="18"/>
                <w:szCs w:val="18"/>
              </w:rPr>
              <w:t>3、</w:t>
            </w:r>
            <w:r>
              <w:rPr>
                <w:rFonts w:hint="eastAsia"/>
                <w:sz w:val="18"/>
                <w:szCs w:val="18"/>
                <w:lang w:val="en-US" w:eastAsia="zh-CN"/>
              </w:rPr>
              <w:t>具备质控和校准管理功能</w:t>
            </w:r>
            <w:bookmarkStart w:id="0" w:name="_GoBack"/>
            <w:bookmarkEnd w:id="0"/>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22</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10</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15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4FA6B97"/>
    <w:rsid w:val="1BBD7D7B"/>
    <w:rsid w:val="2D1574CC"/>
    <w:rsid w:val="41110EEC"/>
    <w:rsid w:val="4619683C"/>
    <w:rsid w:val="4A3C45C4"/>
    <w:rsid w:val="63C34491"/>
    <w:rsid w:val="6FB95D88"/>
    <w:rsid w:val="71EE7F51"/>
    <w:rsid w:val="72520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8</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2021-04-15T07:55:54Z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