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尿路支架系统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尿路支架系统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2021-耗材-Lz-025</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尿路支架系统</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适用于输尿管梗阻、尿道狭窄、膀胱出口梗阻疾病的治疗；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系统由支架和导管输送体系组成，含有多种规格；</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支架可长期留置于人体内（可留置时间&gt;12个月）；</w:t>
            </w:r>
          </w:p>
          <w:p>
            <w:pPr>
              <w:pStyle w:val="15"/>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支架覆膜，</w:t>
            </w:r>
            <w:r>
              <w:rPr>
                <w:rFonts w:hint="eastAsia" w:ascii="宋体" w:hAnsi="宋体" w:eastAsia="宋体" w:cs="宋体"/>
                <w:szCs w:val="21"/>
                <w:lang w:val="en-US" w:eastAsia="zh-CN"/>
              </w:rPr>
              <w:t>形成不渗漏管腔，</w:t>
            </w:r>
            <w:bookmarkStart w:id="0" w:name="_GoBack"/>
            <w:bookmarkEnd w:id="0"/>
            <w:r>
              <w:rPr>
                <w:rFonts w:hint="default" w:ascii="宋体" w:hAnsi="宋体" w:eastAsia="宋体" w:cs="宋体"/>
                <w:szCs w:val="21"/>
                <w:lang w:val="en-US" w:eastAsia="zh-CN"/>
              </w:rPr>
              <w:t>防止粘膜组织向管内嵌入</w:t>
            </w:r>
            <w:r>
              <w:rPr>
                <w:rFonts w:hint="eastAsia" w:ascii="宋体" w:hAnsi="宋体" w:eastAsia="宋体" w:cs="宋体"/>
                <w:szCs w:val="21"/>
                <w:lang w:val="en-US" w:eastAsia="zh-CN"/>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lang w:val="en-US" w:eastAsia="zh-CN"/>
        </w:rPr>
        <w:t>5</w:t>
      </w:r>
      <w:r>
        <w:rPr>
          <w:rFonts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20287728"/>
    <w:rsid w:val="22514BF9"/>
    <w:rsid w:val="225C1658"/>
    <w:rsid w:val="25D25F42"/>
    <w:rsid w:val="26C43BB8"/>
    <w:rsid w:val="2D012AC0"/>
    <w:rsid w:val="2E3B1F9E"/>
    <w:rsid w:val="31651E0A"/>
    <w:rsid w:val="31794195"/>
    <w:rsid w:val="332A387A"/>
    <w:rsid w:val="34332D06"/>
    <w:rsid w:val="36CE403F"/>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2021-03-05T07:15:00Z</cp:lastPrinted>
  <dcterms:modified xsi:type="dcterms:W3CDTF">2021-03-05T07:16:25Z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