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植入式迷走神经刺激脉冲发生器及附件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植入式迷走神经刺激脉冲发生器及附件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highlight w:val="none"/>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highlight w:val="none"/>
        </w:rPr>
        <w:t>2021-耗材-Lz-0</w:t>
      </w:r>
      <w:r>
        <w:rPr>
          <w:rFonts w:hint="eastAsia" w:ascii="宋体" w:hAnsi="宋体" w:eastAsia="宋体"/>
          <w:b/>
          <w:bCs/>
          <w:szCs w:val="21"/>
          <w:highlight w:val="none"/>
          <w:lang w:val="en-US" w:eastAsia="zh-CN"/>
        </w:rPr>
        <w:t>22</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儿童癫痫中心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植入式迷走神经刺激脉冲发生器及附件</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可通过监测患者心率，主动在癫痫发作前给予患者电刺激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电池容量大于等于1700mAh；在常规刺激情况下，使用寿命不低于10年</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产品外壳全密封涉及；可显示电量；带有自测系统</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8：30-9:00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w:t>
      </w:r>
    </w:p>
    <w:p>
      <w:pPr>
        <w:spacing w:after="20"/>
        <w:rPr>
          <w:rFonts w:hint="eastAsia" w:ascii="宋体" w:hAnsi="宋体" w:eastAsia="宋体"/>
          <w:szCs w:val="21"/>
          <w:lang w:val="en-US"/>
        </w:rPr>
      </w:pP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7C320BB"/>
    <w:rsid w:val="083F4098"/>
    <w:rsid w:val="0B5915DC"/>
    <w:rsid w:val="0C617ED3"/>
    <w:rsid w:val="0DC53ECC"/>
    <w:rsid w:val="0E337630"/>
    <w:rsid w:val="102D0525"/>
    <w:rsid w:val="14134BA0"/>
    <w:rsid w:val="20287728"/>
    <w:rsid w:val="225C1658"/>
    <w:rsid w:val="25D25F42"/>
    <w:rsid w:val="26C43BB8"/>
    <w:rsid w:val="2D012AC0"/>
    <w:rsid w:val="2E3B1F9E"/>
    <w:rsid w:val="31651E0A"/>
    <w:rsid w:val="31794195"/>
    <w:rsid w:val="332A387A"/>
    <w:rsid w:val="36CE403F"/>
    <w:rsid w:val="38DF31EB"/>
    <w:rsid w:val="3D43120E"/>
    <w:rsid w:val="410840D3"/>
    <w:rsid w:val="416D4904"/>
    <w:rsid w:val="41E957F3"/>
    <w:rsid w:val="44EF2309"/>
    <w:rsid w:val="45162E18"/>
    <w:rsid w:val="45331138"/>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29</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水</cp:lastModifiedBy>
  <cp:lastPrinted>2020-12-03T02:24:00Z</cp:lastPrinted>
  <dcterms:modified xsi:type="dcterms:W3CDTF">2021-02-25T06:26:35Z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