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非顺应性PTCA球囊扩张导管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非顺应性PTCA球囊扩张导管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非顺应性PTCA球囊扩张导管</w:t>
            </w:r>
          </w:p>
        </w:tc>
        <w:tc>
          <w:tcPr>
            <w:tcW w:w="7393" w:type="dxa"/>
          </w:tcPr>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适用于冠状动脉狭窄部分和支架的后扩张，改善心肌供血能力和指甲的贴壁效果；</w:t>
            </w:r>
          </w:p>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球囊头端外径最小可达到0.016英寸，头端2.0mm长度；</w:t>
            </w:r>
          </w:p>
          <w:p>
            <w:pPr>
              <w:pStyle w:val="15"/>
              <w:numPr>
                <w:ilvl w:val="0"/>
                <w:numId w:val="1"/>
              </w:numPr>
              <w:ind w:left="360" w:leftChars="0" w:hanging="36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需包含2.25mm-4.5mm直径球囊（含1/4，3/4半尺寸直径球囊）；</w:t>
            </w:r>
          </w:p>
          <w:p>
            <w:pPr>
              <w:pStyle w:val="15"/>
              <w:numPr>
                <w:ilvl w:val="0"/>
                <w:numId w:val="1"/>
              </w:numPr>
              <w:ind w:left="360" w:leftChars="0" w:hanging="36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长度需包含6-30mm；</w:t>
            </w:r>
          </w:p>
          <w:p>
            <w:pPr>
              <w:pStyle w:val="15"/>
              <w:numPr>
                <w:ilvl w:val="0"/>
                <w:numId w:val="1"/>
              </w:numPr>
              <w:ind w:left="360" w:leftChars="0" w:hanging="36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bookmarkStart w:id="0" w:name="_GoBack"/>
      <w:bookmarkEnd w:id="0"/>
      <w:r>
        <w:rPr>
          <w:rFonts w:hint="eastAsia" w:ascii="宋体" w:hAnsi="宋体" w:eastAsia="宋体"/>
          <w:szCs w:val="21"/>
        </w:rPr>
        <w:t>:30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1D3432"/>
    <w:rsid w:val="02611EBE"/>
    <w:rsid w:val="02C77029"/>
    <w:rsid w:val="03197E49"/>
    <w:rsid w:val="0752726E"/>
    <w:rsid w:val="083F4098"/>
    <w:rsid w:val="09942068"/>
    <w:rsid w:val="0BF16F7E"/>
    <w:rsid w:val="0C617ED3"/>
    <w:rsid w:val="0E337630"/>
    <w:rsid w:val="20287728"/>
    <w:rsid w:val="225C1658"/>
    <w:rsid w:val="252E3E52"/>
    <w:rsid w:val="25D25F42"/>
    <w:rsid w:val="26C43BB8"/>
    <w:rsid w:val="2E3B1F9E"/>
    <w:rsid w:val="31651E0A"/>
    <w:rsid w:val="31794195"/>
    <w:rsid w:val="332A387A"/>
    <w:rsid w:val="36CE403F"/>
    <w:rsid w:val="38DF31EB"/>
    <w:rsid w:val="3C8202FD"/>
    <w:rsid w:val="410840D3"/>
    <w:rsid w:val="416D4904"/>
    <w:rsid w:val="44EF2309"/>
    <w:rsid w:val="45331138"/>
    <w:rsid w:val="4D254A48"/>
    <w:rsid w:val="4F8E6D2E"/>
    <w:rsid w:val="51F65C6F"/>
    <w:rsid w:val="52097231"/>
    <w:rsid w:val="5381042B"/>
    <w:rsid w:val="59B26BDA"/>
    <w:rsid w:val="5B0D6246"/>
    <w:rsid w:val="5B8F09F9"/>
    <w:rsid w:val="607C6264"/>
    <w:rsid w:val="65C725EA"/>
    <w:rsid w:val="674A67DF"/>
    <w:rsid w:val="6750596A"/>
    <w:rsid w:val="688E6253"/>
    <w:rsid w:val="6C86198B"/>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