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延长导管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keepNext w:val="0"/>
        <w:keepLines w:val="0"/>
        <w:pageBreakBefore w:val="0"/>
        <w:widowControl w:val="0"/>
        <w:kinsoku/>
        <w:wordWrap/>
        <w:overflowPunct/>
        <w:topLinePunct w:val="0"/>
        <w:autoSpaceDE/>
        <w:autoSpaceDN/>
        <w:bidi w:val="0"/>
        <w:adjustRightInd/>
        <w:snapToGrid/>
        <w:spacing w:after="200" w:line="15" w:lineRule="auto"/>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延长导管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2020-耗材-Lz-047</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93"/>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193"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25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193"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延长导管</w:t>
            </w:r>
          </w:p>
        </w:tc>
        <w:tc>
          <w:tcPr>
            <w:tcW w:w="725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适用于经皮冠状动脉介入治疗处理严重钙化、近端扭曲或慢性闭塞等复杂冠脉病变；</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可与导引导管配合使用，用以进入冠脉和外周血管的离散区域，便于放置介入装置</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能够提高支撑力，输送更多器械，减少重新进入导丝造成的风险，提高手术有效性和安全性；</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437"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131D7"/>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53254E0"/>
    <w:rsid w:val="20287728"/>
    <w:rsid w:val="21FD64C6"/>
    <w:rsid w:val="225C1658"/>
    <w:rsid w:val="28214365"/>
    <w:rsid w:val="31651E0A"/>
    <w:rsid w:val="31794195"/>
    <w:rsid w:val="32451B0F"/>
    <w:rsid w:val="332A387A"/>
    <w:rsid w:val="36CE403F"/>
    <w:rsid w:val="38A965EC"/>
    <w:rsid w:val="3BE30626"/>
    <w:rsid w:val="410840D3"/>
    <w:rsid w:val="416D4904"/>
    <w:rsid w:val="44EF2309"/>
    <w:rsid w:val="4D254A48"/>
    <w:rsid w:val="4F8E6D2E"/>
    <w:rsid w:val="51F65C6F"/>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2020-09-03T02:58:35Z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