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骼骨静脉支架</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骼骨静脉支架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4</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介入血管外科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骼骨静脉支架</w:t>
            </w:r>
            <w:bookmarkStart w:id="0" w:name="_GoBack"/>
            <w:bookmarkEnd w:id="0"/>
          </w:p>
        </w:tc>
        <w:tc>
          <w:tcPr>
            <w:tcW w:w="6474" w:type="dxa"/>
          </w:tcPr>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注册证有明确适用范围</w:t>
            </w:r>
            <w:r>
              <w:rPr>
                <w:rFonts w:hint="eastAsia" w:ascii="宋体" w:hAnsi="宋体" w:eastAsia="宋体" w:cs="宋体"/>
                <w:szCs w:val="21"/>
                <w:lang w:val="en-US" w:eastAsia="zh-CN"/>
              </w:rPr>
              <w:t>，</w:t>
            </w:r>
            <w:r>
              <w:rPr>
                <w:rFonts w:hint="default" w:ascii="宋体" w:hAnsi="宋体" w:eastAsia="宋体" w:cs="宋体"/>
                <w:szCs w:val="21"/>
                <w:lang w:val="en-US" w:eastAsia="zh-CN"/>
              </w:rPr>
              <w:t>用于治疗髂股静脉狭窄和闭塞</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产品包含多种型号，满足不同患者需求</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818</Words>
  <Characters>966</Characters>
  <Lines>15</Lines>
  <Paragraphs>4</Paragraphs>
  <TotalTime>0</TotalTime>
  <ScaleCrop>false</ScaleCrop>
  <LinksUpToDate>false</LinksUpToDate>
  <CharactersWithSpaces>6758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2022-06-21T07:59:47Z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8EE83D94915E49678FE4AD83E0F83A53</vt:lpwstr>
  </property>
</Properties>
</file>