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植入导针</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lang w:val="en-US" w:eastAsia="zh-CN"/>
        </w:rPr>
        <w:t>植入导针</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lang w:val="en-US" w:eastAsia="zh-CN"/>
        </w:rPr>
        <w:t>2022-耗材-LZ-</w:t>
      </w:r>
      <w:r>
        <w:rPr>
          <w:rFonts w:ascii="HYShuSongErKW" w:hAnsi="HYShuSongErKW" w:eastAsia="HYShuSongErKW" w:cs="HYShuSongErKW"/>
          <w:color w:val="000000"/>
          <w:sz w:val="20"/>
          <w:szCs w:val="20"/>
        </w:rPr>
        <w:t>054（2）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泌尿外科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植入导针</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 xml:space="preserve">用于前列腺放射性粒子植入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适配在院粒子植入枪（品牌：</w:t>
            </w:r>
            <w:r>
              <w:rPr>
                <w:rFonts w:hint="default" w:ascii="Arial" w:hAnsi="Arial" w:eastAsia="宋体" w:cs="Arial"/>
                <w:color w:val="000000"/>
                <w:kern w:val="0"/>
                <w:sz w:val="20"/>
                <w:szCs w:val="20"/>
                <w:lang w:val="en-US" w:eastAsia="zh-CN" w:bidi="ar"/>
              </w:rPr>
              <w:t>Mick</w:t>
            </w:r>
            <w:r>
              <w:rPr>
                <w:rFonts w:hint="eastAsia" w:ascii="HYShuSongErKW" w:hAnsi="HYShuSongErKW" w:eastAsia="HYShuSongErKW" w:cs="HYShuSongErKW"/>
                <w:color w:val="000000"/>
                <w:kern w:val="0"/>
                <w:sz w:val="20"/>
                <w:szCs w:val="20"/>
                <w:lang w:val="en-US" w:eastAsia="zh-CN" w:bidi="ar"/>
              </w:rPr>
              <w:t xml:space="preserve">） </w:t>
            </w:r>
          </w:p>
          <w:p>
            <w:pPr>
              <w:jc w:val="center"/>
            </w:pPr>
            <w:r>
              <w:rPr>
                <w:rFonts w:hint="default" w:ascii="Arial" w:hAnsi="Arial" w:eastAsia="宋体" w:cs="Arial"/>
                <w:color w:val="000000"/>
                <w:sz w:val="20"/>
                <w:szCs w:val="20"/>
              </w:rPr>
              <w:t xml:space="preserve">3. </w:t>
            </w:r>
            <w:r>
              <w:rPr>
                <w:rFonts w:hint="eastAsia" w:ascii="HYShuSongErKW" w:hAnsi="HYShuSongErKW" w:eastAsia="HYShuSongErKW" w:cs="HYShuSongErKW"/>
                <w:color w:val="000000"/>
                <w:sz w:val="20"/>
                <w:szCs w:val="20"/>
              </w:rPr>
              <w:t>一次性使用无菌耗材</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hint="default" w:ascii="宋体" w:hAnsi="宋体" w:eastAsia="宋体"/>
          <w:szCs w:val="21"/>
        </w:rPr>
        <w:t>2022</w:t>
      </w:r>
      <w:r>
        <w:rPr>
          <w:rFonts w:ascii="微软雅黑" w:hAnsi="微软雅黑" w:eastAsia="微软雅黑" w:cs="微软雅黑"/>
          <w:color w:val="FF0000"/>
          <w:spacing w:val="3"/>
          <w:sz w:val="22"/>
          <w:szCs w:val="22"/>
          <w:highlight w:val="none"/>
          <w:u w:val="single" w:color="auto"/>
        </w:rPr>
        <w:t>年8月8日16 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83572275； 咨询：陆充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8</w:t>
      </w:r>
      <w:r>
        <w:rPr>
          <w:rFonts w:hint="eastAsia" w:ascii="宋体" w:hAnsi="宋体" w:eastAsia="宋体"/>
          <w:color w:val="000000"/>
          <w:sz w:val="18"/>
          <w:lang w:val="en-US" w:eastAsia="zh-CN"/>
        </w:rPr>
        <w:t>月</w:t>
      </w:r>
      <w:r>
        <w:rPr>
          <w:rFonts w:hint="default" w:ascii="宋体" w:hAnsi="宋体" w:eastAsia="宋体"/>
          <w:color w:val="000000"/>
          <w:sz w:val="18"/>
          <w:lang w:eastAsia="zh-CN"/>
        </w:rPr>
        <w:t>1</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2JmMjQ3YzBlMjdhYjgzNjA2MjNlYjM2MWYzZTQifQ=="/>
  </w:docVars>
  <w:rsids>
    <w:rsidRoot w:val="BE66D9E2"/>
    <w:rsid w:val="05346567"/>
    <w:rsid w:val="2E28383A"/>
    <w:rsid w:val="3C32093B"/>
    <w:rsid w:val="4030659D"/>
    <w:rsid w:val="4F9376D6"/>
    <w:rsid w:val="5877170F"/>
    <w:rsid w:val="69832DC4"/>
    <w:rsid w:val="6C9E1478"/>
    <w:rsid w:val="6F236A76"/>
    <w:rsid w:val="7B4B16B7"/>
    <w:rsid w:val="7E6A5888"/>
    <w:rsid w:val="BE66D9E2"/>
    <w:rsid w:val="CC6F2D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819</Words>
  <Characters>971</Characters>
  <Lines>0</Lines>
  <Paragraphs>0</Paragraphs>
  <TotalTime>2</TotalTime>
  <ScaleCrop>false</ScaleCrop>
  <LinksUpToDate>false</LinksUpToDate>
  <CharactersWithSpaces>1124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2022-08-01T08:42:39Z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D1CB1888F2844422BC3D61C55371B210</vt:lpwstr>
  </property>
</Properties>
</file>