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温度敏感型液体栓塞剂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1.1项目名称：北京大学第一医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温度敏感型液体栓塞剂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CGZX-HC-2022-0014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介入血管外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科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1.4采购论证性质：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1.6评分办法：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温度敏感型液体栓塞剂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温度敏感型；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规格配置为5ml；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24小时配送。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2.3 必须向北京大学第一医院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下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午16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:00前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的邮件标题格式，发送至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下午16</w:t>
      </w:r>
      <w:r>
        <w:rPr>
          <w:rFonts w:ascii="宋体" w:hAnsi="宋体" w:eastAsia="宋体"/>
          <w:color w:val="FF0000"/>
          <w:sz w:val="18"/>
          <w:szCs w:val="18"/>
        </w:rPr>
        <w:t>:00-1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3.3报名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时需提供资格预审要求的供应商资质及相关资料，另</w:t>
      </w:r>
      <w:bookmarkStart w:id="1" w:name="_GoBack"/>
      <w:bookmarkEnd w:id="1"/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3.4.7 属于中小企业的供应商填写《中小企业声明函》（见附件）；属于小微企业的供应商提供在《国家企业信用信息公示系统》中《小微企业名录》中的查询结果。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房间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联系人及联系电话： XX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2888762D"/>
    <w:rsid w:val="13ED56EA"/>
    <w:rsid w:val="2888762D"/>
    <w:rsid w:val="4682613E"/>
    <w:rsid w:val="4CEF795D"/>
    <w:rsid w:val="7BF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1304</Characters>
  <Lines>0</Lines>
  <Paragraphs>0</Paragraphs>
  <TotalTime>36</TotalTime>
  <ScaleCrop>false</ScaleCrop>
  <LinksUpToDate>false</LinksUpToDate>
  <CharactersWithSpaces>1452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2022-10-24T07:04:00Z</dcterms:created>
  <dc:creator>郝晶晶</dc:creator>
  <cp:lastModifiedBy>郝晶晶</cp:lastModifiedBy>
  <dcterms:modified xsi:type="dcterms:W3CDTF">2022-10-25T01:37:54Z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C73973B089344F0D8D44E0D58E8A085D</vt:lpwstr>
  </property>
</Properties>
</file>