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005F5A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E126F" w:rsidRPr="00FE126F">
        <w:rPr>
          <w:rFonts w:ascii="宋体" w:eastAsia="宋体" w:hAnsi="宋体" w:hint="eastAsia"/>
          <w:b/>
          <w:color w:val="000000"/>
          <w:sz w:val="18"/>
          <w:szCs w:val="18"/>
        </w:rPr>
        <w:t>电子病历系统数据库维保服务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247E88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972CC21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FE126F" w:rsidRPr="00FE126F">
        <w:rPr>
          <w:rFonts w:ascii="宋体" w:eastAsia="宋体" w:hAnsi="宋体" w:hint="eastAsia"/>
          <w:sz w:val="18"/>
          <w:szCs w:val="18"/>
        </w:rPr>
        <w:t>电子病历系统数据库维保服务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EAEA105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FE126F" w:rsidRPr="00FE126F">
        <w:rPr>
          <w:rFonts w:ascii="宋体" w:eastAsia="宋体" w:hAnsi="宋体"/>
          <w:sz w:val="18"/>
          <w:szCs w:val="18"/>
        </w:rPr>
        <w:t>CGZX-XX-2022-0014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4B9C786" w:rsidR="002E1A71" w:rsidRPr="001B1F3F" w:rsidRDefault="00FE126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E126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电子病历系统数据库维保服务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0A93CED6" w:rsidR="002E1A71" w:rsidRPr="001B1F3F" w:rsidRDefault="00E7442F" w:rsidP="00FE126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FE126F">
              <w:rPr>
                <w:rFonts w:ascii="宋体" w:eastAsia="宋体" w:hAnsi="宋体" w:hint="eastAsia"/>
                <w:bCs/>
                <w:color w:val="000000"/>
                <w:sz w:val="18"/>
              </w:rPr>
              <w:t>按月进行预防性维护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70ABC3E1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</w:t>
            </w:r>
            <w:r w:rsidR="00FE126F">
              <w:rPr>
                <w:rFonts w:ascii="宋体" w:eastAsia="宋体" w:hAnsi="宋体" w:hint="eastAsia"/>
                <w:bCs/>
                <w:color w:val="000000"/>
                <w:sz w:val="18"/>
              </w:rPr>
              <w:t>服务，设项目专项联系人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76C1F3F8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FE126F">
              <w:rPr>
                <w:rFonts w:ascii="宋体" w:eastAsia="宋体" w:hAnsi="宋体" w:hint="eastAsia"/>
                <w:bCs/>
                <w:color w:val="000000"/>
                <w:sz w:val="18"/>
              </w:rPr>
              <w:t>重大事项驻场服务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60AC97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47E88">
        <w:rPr>
          <w:rFonts w:ascii="宋体" w:eastAsia="宋体" w:hAnsi="宋体"/>
          <w:color w:val="FF0000"/>
          <w:sz w:val="18"/>
          <w:szCs w:val="18"/>
        </w:rPr>
        <w:t>24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47E88">
        <w:rPr>
          <w:rFonts w:ascii="宋体" w:eastAsia="宋体" w:hAnsi="宋体"/>
          <w:color w:val="FF0000"/>
          <w:sz w:val="18"/>
          <w:szCs w:val="18"/>
        </w:rPr>
        <w:t>30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19F3D5EF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247E88">
        <w:rPr>
          <w:rFonts w:ascii="宋体" w:eastAsia="宋体" w:hAnsi="宋体"/>
          <w:color w:val="FF0000"/>
          <w:sz w:val="18"/>
          <w:szCs w:val="18"/>
        </w:rPr>
        <w:t>12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47E88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247E88">
        <w:rPr>
          <w:rFonts w:ascii="宋体" w:eastAsia="宋体" w:hAnsi="宋体"/>
          <w:color w:val="FF0000"/>
          <w:sz w:val="18"/>
          <w:szCs w:val="18"/>
        </w:rPr>
        <w:t>16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247E88">
        <w:rPr>
          <w:rFonts w:ascii="宋体" w:eastAsia="宋体" w:hAnsi="宋体"/>
          <w:color w:val="FF0000"/>
          <w:sz w:val="18"/>
          <w:szCs w:val="18"/>
        </w:rPr>
        <w:t>17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lastRenderedPageBreak/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AA405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E126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2219D">
        <w:rPr>
          <w:rFonts w:ascii="宋体" w:eastAsia="宋体" w:hAnsi="宋体"/>
          <w:color w:val="FF0000"/>
          <w:sz w:val="18"/>
          <w:szCs w:val="18"/>
        </w:rPr>
        <w:t>24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33D32" w14:textId="77777777" w:rsidR="00FD1AF9" w:rsidRDefault="00FD1AF9" w:rsidP="00250272">
      <w:r>
        <w:separator/>
      </w:r>
    </w:p>
  </w:endnote>
  <w:endnote w:type="continuationSeparator" w:id="0">
    <w:p w14:paraId="764CD728" w14:textId="77777777" w:rsidR="00FD1AF9" w:rsidRDefault="00FD1AF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8746" w14:textId="77777777" w:rsidR="00FD1AF9" w:rsidRDefault="00FD1AF9" w:rsidP="00250272">
      <w:r>
        <w:separator/>
      </w:r>
    </w:p>
  </w:footnote>
  <w:footnote w:type="continuationSeparator" w:id="0">
    <w:p w14:paraId="48AC3B09" w14:textId="77777777" w:rsidR="00FD1AF9" w:rsidRDefault="00FD1AF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47E88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2219D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D049C"/>
    <w:rsid w:val="00F35B5A"/>
    <w:rsid w:val="00F41A7A"/>
    <w:rsid w:val="00F5172C"/>
    <w:rsid w:val="00F54A47"/>
    <w:rsid w:val="00F734C6"/>
    <w:rsid w:val="00F75ACD"/>
    <w:rsid w:val="00F87A09"/>
    <w:rsid w:val="00FD1AF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26</cp:revision>
  <cp:lastPrinted>2022-09-22T05:53:00Z</cp:lastPrinted>
  <dcterms:created xsi:type="dcterms:W3CDTF">2022-10-12T03:26:00Z</dcterms:created>
  <dcterms:modified xsi:type="dcterms:W3CDTF">2022-11-24T06:34:00Z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