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B70BE" w:rsidRPr="007B70BE">
        <w:rPr>
          <w:rFonts w:cs="宋体" w:hint="eastAsia"/>
          <w:b/>
          <w:kern w:val="0"/>
          <w:sz w:val="28"/>
        </w:rPr>
        <w:t>儿科、急诊、神经内科连续性血液净化管路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7B70BE" w:rsidRPr="007B70BE">
        <w:rPr>
          <w:rFonts w:cs="宋体" w:hint="eastAsia"/>
          <w:kern w:val="0"/>
          <w:sz w:val="28"/>
        </w:rPr>
        <w:t>儿科、急诊、神经内科连续性血液净化管路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1E1623" w:rsidRPr="001E1623">
        <w:rPr>
          <w:rFonts w:cs="宋体"/>
          <w:kern w:val="0"/>
          <w:sz w:val="28"/>
        </w:rPr>
        <w:t>北京同健嘉华经贸有限公司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7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8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F3637"/>
    <w:rsid w:val="006E4A41"/>
    <w:rsid w:val="007B70BE"/>
    <w:rsid w:val="00B31785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93374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2023-06-06T01:30:00Z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