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A5821" w:rsidRPr="00FA5821">
        <w:rPr>
          <w:rFonts w:cs="宋体" w:hint="eastAsia"/>
          <w:b/>
          <w:kern w:val="0"/>
          <w:sz w:val="28"/>
        </w:rPr>
        <w:t>麻醉科、重症医学科（大兴院区）振动排痰</w:t>
      </w:r>
      <w:proofErr w:type="gramStart"/>
      <w:r w:rsidR="00FA5821" w:rsidRPr="00FA5821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D157E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FA5821" w:rsidRPr="00FA5821">
        <w:rPr>
          <w:rFonts w:cs="宋体" w:hint="eastAsia"/>
          <w:kern w:val="0"/>
          <w:sz w:val="28"/>
        </w:rPr>
        <w:t>麻醉科、重症医学科（大兴院区）振动排痰仪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A5821" w:rsidRPr="00FA5821">
        <w:rPr>
          <w:rFonts w:cs="宋体" w:hint="eastAsia"/>
          <w:kern w:val="0"/>
          <w:sz w:val="28"/>
        </w:rPr>
        <w:t>北京纳德善通医疗科技有限公司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E459CE"/>
    <w:rsid w:val="00FA582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28</cp:revision>
  <dcterms:created xsi:type="dcterms:W3CDTF">2023-02-06T00:31:00Z</dcterms:created>
  <dcterms:modified xsi:type="dcterms:W3CDTF">2023-08-04T00:50:00Z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