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院妇产科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二氧化碳细胞培养箱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</w:rPr>
        <w:t>妇产科二氧化碳细胞培养箱项目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1208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妇产</w:t>
      </w:r>
      <w:r>
        <w:rPr>
          <w:rFonts w:hint="eastAsia" w:ascii="宋体" w:hAnsi="宋体" w:eastAsia="宋体"/>
          <w:sz w:val="18"/>
          <w:szCs w:val="18"/>
        </w:rPr>
        <w:t>科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二氧化碳细胞培养箱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容积≥170L；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彩色触摸显示屏，屏幕尺寸≥7寸；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温度控制范围：室温+3℃~55℃；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数量：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台。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10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30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6</w:t>
      </w:r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 制造商出具的授权函：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6.1地址：北京市西城区大红罗厂6号 采购中心。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10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30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24651"/>
    <w:rsid w:val="64590EBC"/>
    <w:rsid w:val="66CB3C28"/>
    <w:rsid w:val="66CC640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0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咸鱼</cp:lastModifiedBy>
  <cp:lastPrinted>2022-09-22T05:53:00Z</cp:lastPrinted>
  <dcterms:modified xsi:type="dcterms:W3CDTF">2023-10-30T06:08:11Z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