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【采购中心公告】北京大学第一医院皮科皮肤弹性探头测试系统项目院内论证公告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医院皮科皮肤弹性探头测试系统项目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-1612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皮科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皮科皮肤弹性探头测试系统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质保期：不少于三年；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具有弹性测试功能：测试参数（R值、Q值、F值）；具有油脂测试功能。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EE77EB9"/>
    <w:rsid w:val="12C423BB"/>
    <w:rsid w:val="1C242C2D"/>
    <w:rsid w:val="1CB90789"/>
    <w:rsid w:val="1DD374C3"/>
    <w:rsid w:val="1E0137B5"/>
    <w:rsid w:val="1FBB5C5E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4D884D15"/>
    <w:rsid w:val="54D758A7"/>
    <w:rsid w:val="5BA760CF"/>
    <w:rsid w:val="5DB222C6"/>
    <w:rsid w:val="5E6D648D"/>
    <w:rsid w:val="60326645"/>
    <w:rsid w:val="640D01D2"/>
    <w:rsid w:val="64A70DF2"/>
    <w:rsid w:val="696D4A39"/>
    <w:rsid w:val="6F8D120A"/>
    <w:rsid w:val="704160ED"/>
    <w:rsid w:val="73B9469D"/>
    <w:rsid w:val="7AE2530E"/>
    <w:rsid w:val="7B2D2627"/>
    <w:rsid w:val="7D6D7FBA"/>
    <w:rsid w:val="7DDA092C"/>
    <w:rsid w:val="7E404BAE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6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2023-11-16T09:02:14Z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715E7C0A9B3E4327980A7ACE958EDE68_13</vt:lpwstr>
  </property>
</Properties>
</file>